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2306"/>
        <w:gridCol w:w="5975"/>
        <w:gridCol w:w="5739"/>
      </w:tblGrid>
      <w:tr w:rsidR="003E4316" w:rsidRPr="0060212A" w14:paraId="39484A23" w14:textId="5DFEB1F3" w:rsidTr="003E4316">
        <w:tc>
          <w:tcPr>
            <w:tcW w:w="540" w:type="dxa"/>
          </w:tcPr>
          <w:p w14:paraId="3EC65547" w14:textId="2961BA85" w:rsidR="003E4316" w:rsidRPr="0060212A" w:rsidRDefault="003E4316" w:rsidP="003E431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06" w:type="dxa"/>
          </w:tcPr>
          <w:p w14:paraId="59C26AEB" w14:textId="08969E54" w:rsidR="003E4316" w:rsidRPr="0060212A" w:rsidRDefault="003E4316" w:rsidP="003E431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Регион</w:t>
            </w:r>
          </w:p>
        </w:tc>
        <w:tc>
          <w:tcPr>
            <w:tcW w:w="5975" w:type="dxa"/>
          </w:tcPr>
          <w:p w14:paraId="128CA951" w14:textId="7048287A" w:rsidR="003E4316" w:rsidRPr="0060212A" w:rsidRDefault="003E4316" w:rsidP="003E431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Вопрос</w:t>
            </w:r>
          </w:p>
        </w:tc>
        <w:tc>
          <w:tcPr>
            <w:tcW w:w="5739" w:type="dxa"/>
          </w:tcPr>
          <w:p w14:paraId="0EFDA769" w14:textId="4C991FB1" w:rsidR="003E4316" w:rsidRPr="0060212A" w:rsidRDefault="003E4316" w:rsidP="003E431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Ответ</w:t>
            </w:r>
          </w:p>
        </w:tc>
      </w:tr>
      <w:tr w:rsidR="003E4316" w:rsidRPr="0060212A" w14:paraId="7826FF65" w14:textId="340C2722" w:rsidTr="003E4316">
        <w:tc>
          <w:tcPr>
            <w:tcW w:w="540" w:type="dxa"/>
          </w:tcPr>
          <w:p w14:paraId="25510605" w14:textId="253D4567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306" w:type="dxa"/>
          </w:tcPr>
          <w:p w14:paraId="3060B779" w14:textId="06F10A77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Республика Дагестан</w:t>
            </w:r>
          </w:p>
        </w:tc>
        <w:tc>
          <w:tcPr>
            <w:tcW w:w="5975" w:type="dxa"/>
          </w:tcPr>
          <w:p w14:paraId="32917392" w14:textId="77777777" w:rsidR="003E4316" w:rsidRPr="0060212A" w:rsidRDefault="003E4316" w:rsidP="00C015F8">
            <w:pPr>
              <w:pStyle w:val="a4"/>
            </w:pPr>
            <w:r w:rsidRPr="0060212A">
              <w:t>Здравствуйте. Возможно ли проведение мероприятий по текущему ремонту и приведению помещений к единому фирменному стилю в зданиях, занимаемых центрами занятости населения по договору аренды (безвозмездного пользования)? Спасибо.</w:t>
            </w:r>
          </w:p>
          <w:p w14:paraId="096B65A4" w14:textId="77777777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9" w:type="dxa"/>
          </w:tcPr>
          <w:p w14:paraId="514621D6" w14:textId="592966AE" w:rsidR="003E4316" w:rsidRPr="0060212A" w:rsidRDefault="00693FB8" w:rsidP="00C015F8">
            <w:pPr>
              <w:pStyle w:val="a4"/>
            </w:pPr>
            <w:r w:rsidRPr="0060212A">
              <w:rPr>
                <w:b/>
                <w:bCs/>
              </w:rPr>
              <w:t xml:space="preserve">Финансирование работ по текущему ремонту помещений ЦЗН, находящихся в аренде или в безвозмездном пользовании, </w:t>
            </w:r>
            <w:r w:rsidRPr="0060212A">
              <w:t>допускается за счет средств субсидии из федерального бюджета только при условии установленного долгосрочного характера соответствующих отношений аренды или безвозмездного пользования.</w:t>
            </w:r>
          </w:p>
        </w:tc>
      </w:tr>
      <w:tr w:rsidR="003E4316" w:rsidRPr="0060212A" w14:paraId="4844E64A" w14:textId="0A8CEA75" w:rsidTr="003E4316">
        <w:tc>
          <w:tcPr>
            <w:tcW w:w="540" w:type="dxa"/>
          </w:tcPr>
          <w:p w14:paraId="0B20B616" w14:textId="0C7990E8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06" w:type="dxa"/>
          </w:tcPr>
          <w:p w14:paraId="00F62F28" w14:textId="12F7AE8F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ЯНАО</w:t>
            </w:r>
          </w:p>
        </w:tc>
        <w:tc>
          <w:tcPr>
            <w:tcW w:w="5975" w:type="dxa"/>
          </w:tcPr>
          <w:p w14:paraId="3219ABD1" w14:textId="77777777" w:rsidR="003E4316" w:rsidRPr="0060212A" w:rsidRDefault="003E4316" w:rsidP="004A4EEB">
            <w:pPr>
              <w:pStyle w:val="a4"/>
            </w:pPr>
            <w:r w:rsidRPr="0060212A">
              <w:t>Добрый день! Какой порядок действий для субъектов, которым не требуется субсидия, все расходы будут за счет регионального бюджета?</w:t>
            </w:r>
          </w:p>
          <w:p w14:paraId="7F7BB7BE" w14:textId="77777777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9" w:type="dxa"/>
          </w:tcPr>
          <w:p w14:paraId="5B0B4A91" w14:textId="24560E43" w:rsidR="003E4316" w:rsidRPr="00204A22" w:rsidRDefault="00204A22" w:rsidP="004A4EEB">
            <w:pPr>
              <w:pStyle w:val="a4"/>
              <w:rPr>
                <w:color w:val="22272F"/>
                <w:shd w:val="clear" w:color="auto" w:fill="FFFFFF"/>
              </w:rPr>
            </w:pPr>
            <w:r>
              <w:rPr>
                <w:color w:val="22272F"/>
                <w:shd w:val="clear" w:color="auto" w:fill="FFFFFF"/>
              </w:rPr>
              <w:t>По данному вопросу разъяснения будут даны на совещании с Рострудом.</w:t>
            </w:r>
          </w:p>
        </w:tc>
      </w:tr>
      <w:tr w:rsidR="003E4316" w:rsidRPr="0060212A" w14:paraId="217B1CD9" w14:textId="5B388221" w:rsidTr="003E4316">
        <w:tc>
          <w:tcPr>
            <w:tcW w:w="540" w:type="dxa"/>
          </w:tcPr>
          <w:p w14:paraId="16438A6A" w14:textId="2EB8C2E3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306" w:type="dxa"/>
          </w:tcPr>
          <w:p w14:paraId="3821BCB4" w14:textId="7CF7B2FD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Республика Дагестан</w:t>
            </w:r>
          </w:p>
        </w:tc>
        <w:tc>
          <w:tcPr>
            <w:tcW w:w="5975" w:type="dxa"/>
          </w:tcPr>
          <w:p w14:paraId="748DC63A" w14:textId="77777777" w:rsidR="003E4316" w:rsidRPr="0060212A" w:rsidRDefault="003E4316" w:rsidP="004C02E5">
            <w:pPr>
              <w:pStyle w:val="a4"/>
            </w:pPr>
            <w:r w:rsidRPr="0060212A">
              <w:t>При установке модульной конструкции запланировано проведение благоустройства прилегающей территории. Возможно ли использование средств федерального бюджета на благоустройство территории? Должен ли земельный участок передаваться в государственную собственность субъекта РФ (при условии того, что зем.участок предоставлен муниципальным образованием субъекта РФ)? К примеру - земельный участок для установки модульной конструкции предоставлен муниципальным образованием центру занятости населения на праве постоянного бессрочного пользования, но при этом он остается в собственности муниципального образования. Можно ли использовать средства федерального бюджета на его благоустройство при указанном условии?</w:t>
            </w:r>
          </w:p>
          <w:p w14:paraId="01512813" w14:textId="77777777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9" w:type="dxa"/>
          </w:tcPr>
          <w:p w14:paraId="21E50395" w14:textId="7D0C15DF" w:rsidR="003E4316" w:rsidRPr="0060212A" w:rsidRDefault="00693FB8" w:rsidP="004C02E5">
            <w:pPr>
              <w:pStyle w:val="a4"/>
            </w:pPr>
            <w:r w:rsidRPr="0060212A">
              <w:t xml:space="preserve">Допускается финансирование за счет средств субсидии из федерального бюджета работ </w:t>
            </w:r>
            <w:r w:rsidRPr="0060212A">
              <w:rPr>
                <w:b/>
                <w:bCs/>
              </w:rPr>
              <w:t xml:space="preserve">по устройству и оснащению уличных стелл и указателей ЦЗН </w:t>
            </w:r>
            <w:r w:rsidRPr="0060212A">
              <w:t>в соответствии с руководством по фирменному стилю СЗН, при этом при принятии решений о проведении таких работ следует руководствоваться принципами целесообразности, разумности и обоснованности.</w:t>
            </w:r>
          </w:p>
        </w:tc>
      </w:tr>
      <w:tr w:rsidR="003E4316" w:rsidRPr="0060212A" w14:paraId="5BDA87D7" w14:textId="69C72B91" w:rsidTr="003E4316">
        <w:tc>
          <w:tcPr>
            <w:tcW w:w="540" w:type="dxa"/>
          </w:tcPr>
          <w:p w14:paraId="0B0E704D" w14:textId="0119578F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06" w:type="dxa"/>
          </w:tcPr>
          <w:p w14:paraId="43F6F32E" w14:textId="443A1F20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Республика Дагестан</w:t>
            </w:r>
          </w:p>
        </w:tc>
        <w:tc>
          <w:tcPr>
            <w:tcW w:w="5975" w:type="dxa"/>
          </w:tcPr>
          <w:p w14:paraId="73DC0C8E" w14:textId="06DBF06A" w:rsidR="003E4316" w:rsidRPr="0060212A" w:rsidRDefault="003E4316" w:rsidP="00B079E9">
            <w:pPr>
              <w:pStyle w:val="a4"/>
            </w:pPr>
            <w:r w:rsidRPr="0060212A">
              <w:t xml:space="preserve">При проведении ремонтных работ какой нормативно-правовой акт является основополагающим для определения их характера (текущий или капитальный)? </w:t>
            </w:r>
            <w:r w:rsidRPr="0060212A">
              <w:lastRenderedPageBreak/>
              <w:t>1. Ведомственные строительные нормы "ВСН 58-88 (Р) "Положение об организации и проведении реконструкции, ремонта и технического обслуживания зданий, объектов коммунального и социально-культурного назначения" (утв. Приказом Госкомархитектуры РФ при Госстрое СССР от 23.11.88 N 312). 2. К предыдущему вопросу! 2. ПОСТАНОВЛЕНИЕ Правительства Российской Федерации от 30 ноября 2021 г. N 2120</w:t>
            </w:r>
            <w:r w:rsidRPr="0060212A">
              <w:br/>
              <w:t>"ОБ ОСУЩЕСТВЛЕНИИ</w:t>
            </w:r>
            <w:r w:rsidRPr="0060212A">
              <w:br/>
              <w:t>ЗАМЕНЫ И (ИЛИ) ВОССТАНОВЛЕНИЯ ОТДЕЛЬНЫХ ЭЛЕМЕНТОВ</w:t>
            </w:r>
            <w:r w:rsidRPr="0060212A">
              <w:br/>
              <w:t>СТРОИТЕЛЬНЫХ КОНСТРУКЦИЙ ЗДАНИЙ, СООРУЖЕНИЙ, ЭЛЕМЕНТОВ</w:t>
            </w:r>
            <w:r w:rsidRPr="0060212A">
              <w:br/>
              <w:t>СИСТЕМ ИНЖЕНЕРНО-ТЕХНИЧЕСКОГО ОБЕСПЕЧЕНИЯ И СЕТЕЙ</w:t>
            </w:r>
            <w:r w:rsidRPr="0060212A">
              <w:br/>
              <w:t>ИНЖЕНЕРНО-ТЕХНИЧЕСКОГО ОБЕСПЕЧЕНИЯ ПРИ ПРОВЕДЕНИИ</w:t>
            </w:r>
            <w:r w:rsidRPr="0060212A">
              <w:br/>
              <w:t>ТЕКУЩЕГО РЕМОНТА ЗДАНИЙ, СООРУЖЕНИЙ".</w:t>
            </w:r>
          </w:p>
        </w:tc>
        <w:tc>
          <w:tcPr>
            <w:tcW w:w="5739" w:type="dxa"/>
          </w:tcPr>
          <w:p w14:paraId="2D3585EE" w14:textId="77777777" w:rsidR="00ED4F4F" w:rsidRPr="0060212A" w:rsidRDefault="00ED4F4F" w:rsidP="00ED4F4F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lastRenderedPageBreak/>
              <w:t>Понятия "капитальный ремонт" и "текущий ремонт" </w:t>
            </w:r>
            <w:hyperlink r:id="rId4" w:anchor="/document/10164072/entry/0" w:history="1">
              <w:r w:rsidRPr="0060212A">
                <w:rPr>
                  <w:rStyle w:val="a5"/>
                  <w:color w:val="3272C0"/>
                </w:rPr>
                <w:t>ГК</w:t>
              </w:r>
            </w:hyperlink>
            <w:r w:rsidRPr="0060212A">
              <w:rPr>
                <w:color w:val="22272F"/>
              </w:rPr>
              <w:t> РФ не раскрывает.</w:t>
            </w:r>
          </w:p>
          <w:p w14:paraId="795FC15E" w14:textId="77777777" w:rsidR="00ED4F4F" w:rsidRPr="0060212A" w:rsidRDefault="00ED4F4F" w:rsidP="00ED4F4F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lastRenderedPageBreak/>
              <w:t>Согласно </w:t>
            </w:r>
            <w:hyperlink r:id="rId5" w:anchor="/document/12138258/entry/10142" w:history="1">
              <w:r w:rsidRPr="0060212A">
                <w:rPr>
                  <w:rStyle w:val="a5"/>
                  <w:color w:val="3272C0"/>
                </w:rPr>
                <w:t>п. 14.2 ст. 1</w:t>
              </w:r>
            </w:hyperlink>
            <w:r w:rsidRPr="0060212A">
              <w:rPr>
                <w:color w:val="22272F"/>
              </w:rPr>
              <w:t> Градостроительного кодекса РФ к капитальному ремонту объектов капитального строительства относятся:</w:t>
            </w:r>
          </w:p>
          <w:p w14:paraId="698A1F0B" w14:textId="77777777" w:rsidR="00ED4F4F" w:rsidRPr="0060212A" w:rsidRDefault="00ED4F4F" w:rsidP="00ED4F4F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t>- замена и (или) восстановление строительных конструкций объектов капитального строительства или элементов таких конструкций, за исключением несущих строительных конструкций;</w:t>
            </w:r>
          </w:p>
          <w:p w14:paraId="72D5D869" w14:textId="77777777" w:rsidR="00ED4F4F" w:rsidRPr="0060212A" w:rsidRDefault="00ED4F4F" w:rsidP="00ED4F4F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t>- замена и (или) восстановление систем инженерно-технического обеспечения и сетей инженерно-технического обеспечения объектов капитального строительства или их элементов;</w:t>
            </w:r>
          </w:p>
          <w:p w14:paraId="10DC382C" w14:textId="77777777" w:rsidR="00ED4F4F" w:rsidRPr="0060212A" w:rsidRDefault="00ED4F4F" w:rsidP="00ED4F4F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t>- замена отдельных элементов несущих строительных конструкций на аналогичные или иные улучшающие показатели таких конструкций элементы и (или) восстановление указанных элементов.</w:t>
            </w:r>
          </w:p>
          <w:p w14:paraId="6B63A58E" w14:textId="77777777" w:rsidR="00ED4F4F" w:rsidRPr="0060212A" w:rsidRDefault="00ED4F4F" w:rsidP="00ED4F4F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t>Определяя, относятся ли те или иные работы по ремонту зданий или сооружений к капитальному или к текущему ремонту, правоприменительная практика обычно руководствуется </w:t>
            </w:r>
            <w:hyperlink r:id="rId6" w:anchor="/document/12138258/entry/10142" w:history="1">
              <w:r w:rsidRPr="0060212A">
                <w:rPr>
                  <w:rStyle w:val="a5"/>
                  <w:color w:val="3272C0"/>
                </w:rPr>
                <w:t>п. 14.2 ст. 1</w:t>
              </w:r>
            </w:hyperlink>
            <w:r w:rsidRPr="0060212A">
              <w:rPr>
                <w:color w:val="22272F"/>
              </w:rPr>
              <w:t> Градостроительного кодекса РФ, </w:t>
            </w:r>
            <w:hyperlink r:id="rId7" w:anchor="/document/2306626/entry/0" w:history="1">
              <w:r w:rsidRPr="0060212A">
                <w:rPr>
                  <w:rStyle w:val="a5"/>
                  <w:color w:val="3272C0"/>
                </w:rPr>
                <w:t>ведомственными строительными нормами</w:t>
              </w:r>
            </w:hyperlink>
            <w:r w:rsidRPr="0060212A">
              <w:rPr>
                <w:color w:val="22272F"/>
              </w:rPr>
              <w:t> ВСН 58-88 (р) "Положение об организации и проведении реконструкции, ремонта и технического обслуживания зданий, объектов коммунального и социально-культурного назначения" (утв. </w:t>
            </w:r>
            <w:hyperlink r:id="rId8" w:anchor="/document/12160687/entry/0" w:history="1">
              <w:r w:rsidRPr="0060212A">
                <w:rPr>
                  <w:rStyle w:val="a5"/>
                  <w:color w:val="3272C0"/>
                </w:rPr>
                <w:t>приказом</w:t>
              </w:r>
            </w:hyperlink>
            <w:r w:rsidRPr="0060212A">
              <w:rPr>
                <w:color w:val="22272F"/>
              </w:rPr>
              <w:t> Госкомархитектуры при Госстрое СССР от 23.11.1988 N 312), а также иными ведомственными актами.</w:t>
            </w:r>
          </w:p>
          <w:p w14:paraId="3411DFE8" w14:textId="77777777" w:rsidR="00DD0B0D" w:rsidRPr="0060212A" w:rsidRDefault="00DD0B0D" w:rsidP="00DD0B0D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lastRenderedPageBreak/>
              <w:t>Кроме того, В соответствии с </w:t>
            </w:r>
            <w:hyperlink r:id="rId9" w:anchor="/document/12138258/entry/552481" w:history="1">
              <w:r w:rsidRPr="0060212A">
                <w:rPr>
                  <w:rStyle w:val="a5"/>
                  <w:color w:val="3272C0"/>
                </w:rPr>
                <w:t>частью 8</w:t>
              </w:r>
              <w:r w:rsidRPr="0060212A">
                <w:rPr>
                  <w:rStyle w:val="a5"/>
                  <w:color w:val="3272C0"/>
                  <w:vertAlign w:val="superscript"/>
                </w:rPr>
                <w:t> 1</w:t>
              </w:r>
              <w:r w:rsidRPr="0060212A">
                <w:rPr>
                  <w:rStyle w:val="a5"/>
                  <w:color w:val="3272C0"/>
                </w:rPr>
                <w:t> статьи 55</w:t>
              </w:r>
              <w:r w:rsidRPr="0060212A">
                <w:rPr>
                  <w:rStyle w:val="a5"/>
                  <w:color w:val="3272C0"/>
                  <w:vertAlign w:val="superscript"/>
                </w:rPr>
                <w:t> 24</w:t>
              </w:r>
            </w:hyperlink>
            <w:r w:rsidRPr="0060212A">
              <w:rPr>
                <w:color w:val="22272F"/>
              </w:rPr>
              <w:t> Градостроительного кодекса Российской Федерации Правительство Российской Федерации постановляет:</w:t>
            </w:r>
          </w:p>
          <w:p w14:paraId="2CC79116" w14:textId="2CA2A25D" w:rsidR="00DD0B0D" w:rsidRPr="0060212A" w:rsidRDefault="00DD0B0D" w:rsidP="00DD0B0D">
            <w:pPr>
              <w:pStyle w:val="s1"/>
              <w:shd w:val="clear" w:color="auto" w:fill="FFFFFF"/>
              <w:jc w:val="both"/>
              <w:rPr>
                <w:color w:val="22272F"/>
              </w:rPr>
            </w:pPr>
            <w:r w:rsidRPr="0060212A">
              <w:rPr>
                <w:color w:val="22272F"/>
              </w:rPr>
              <w:t>1. Установить, что при проведении текущего ремонта зданий, сооружений может осуществляться замена и (или) восстановление отдельных элементов строительных конструкций таких зданий, сооружений (за исключением элементов несущих строительных конструкций), элементов систем инженерно-технического обеспечения и сетей инженерно-технического обеспечения таких зданий, сооружений в случае ухудшения или утраты технических характеристик, эстетических и (или) эксплуатационных свойств таких элементов строительных конструкций зданий, сооружений, элементов систем инженерно-технического обеспечения и сетей инженерно-технического обеспечения согласно </w:t>
            </w:r>
            <w:hyperlink r:id="rId10" w:anchor="/document/403138045/entry/1000" w:history="1">
              <w:r w:rsidRPr="0060212A">
                <w:rPr>
                  <w:rStyle w:val="a5"/>
                  <w:color w:val="3272C0"/>
                </w:rPr>
                <w:t>приложению</w:t>
              </w:r>
            </w:hyperlink>
            <w:r w:rsidRPr="0060212A">
              <w:rPr>
                <w:color w:val="22272F"/>
              </w:rPr>
              <w:t xml:space="preserve"> (утверждено </w:t>
            </w:r>
            <w:r w:rsidRPr="0060212A">
              <w:t>ПОСТАНОВЛЕНИЕ Правительства Российской Федерации от 30 ноября 2021). г. N 2120</w:t>
            </w:r>
            <w:r w:rsidRPr="0060212A">
              <w:br/>
            </w:r>
          </w:p>
          <w:p w14:paraId="18DF3B9C" w14:textId="7F15CF9B" w:rsidR="003E4316" w:rsidRPr="0060212A" w:rsidRDefault="003E4316" w:rsidP="00DD0B0D">
            <w:pPr>
              <w:pStyle w:val="s1"/>
              <w:shd w:val="clear" w:color="auto" w:fill="FFFFFF"/>
              <w:jc w:val="both"/>
            </w:pPr>
          </w:p>
        </w:tc>
      </w:tr>
      <w:tr w:rsidR="003E4316" w:rsidRPr="0060212A" w14:paraId="42392062" w14:textId="46FE92A8" w:rsidTr="003E4316">
        <w:tc>
          <w:tcPr>
            <w:tcW w:w="540" w:type="dxa"/>
          </w:tcPr>
          <w:p w14:paraId="699A1E71" w14:textId="4440BB4D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306" w:type="dxa"/>
          </w:tcPr>
          <w:p w14:paraId="588EBF00" w14:textId="5D647DD6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Санкт-Петербург</w:t>
            </w:r>
          </w:p>
        </w:tc>
        <w:tc>
          <w:tcPr>
            <w:tcW w:w="5975" w:type="dxa"/>
          </w:tcPr>
          <w:p w14:paraId="25F650AB" w14:textId="77777777" w:rsidR="003E4316" w:rsidRPr="0060212A" w:rsidRDefault="003E4316" w:rsidP="00B079E9">
            <w:pPr>
              <w:pStyle w:val="a4"/>
            </w:pPr>
            <w:r w:rsidRPr="0060212A">
              <w:t>Если штатная структура уже изменена как заполнять "как было", "как стало"?</w:t>
            </w:r>
          </w:p>
          <w:p w14:paraId="774236B1" w14:textId="77777777" w:rsidR="003E4316" w:rsidRPr="0060212A" w:rsidRDefault="003E43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39" w:type="dxa"/>
          </w:tcPr>
          <w:p w14:paraId="2F4D1FB5" w14:textId="3ABA7479" w:rsidR="003E4316" w:rsidRPr="0060212A" w:rsidRDefault="003D19C4" w:rsidP="00B079E9">
            <w:pPr>
              <w:pStyle w:val="a4"/>
            </w:pPr>
            <w:r>
              <w:t xml:space="preserve">Таблица по штатной структуре </w:t>
            </w:r>
            <w:r w:rsidR="00F92CCE" w:rsidRPr="00F92CCE">
              <w:t>«</w:t>
            </w:r>
            <w:r>
              <w:t>к</w:t>
            </w:r>
            <w:r w:rsidR="00F92CCE" w:rsidRPr="00F92CCE">
              <w:t xml:space="preserve">ак есть» </w:t>
            </w:r>
            <w:r w:rsidR="00351D11">
              <w:t xml:space="preserve">заполняется </w:t>
            </w:r>
            <w:r w:rsidR="00F92CCE" w:rsidRPr="00F92CCE">
              <w:t>по действующей структуре, «как будет» - по той структуре, котор</w:t>
            </w:r>
            <w:r w:rsidR="00351D11">
              <w:t>ая</w:t>
            </w:r>
            <w:r w:rsidR="00F92CCE" w:rsidRPr="00F92CCE">
              <w:t xml:space="preserve"> планиру</w:t>
            </w:r>
            <w:r w:rsidR="00351D11">
              <w:t xml:space="preserve">ется. </w:t>
            </w:r>
            <w:r w:rsidR="00F92CCE" w:rsidRPr="00F92CCE">
              <w:t xml:space="preserve">Если </w:t>
            </w:r>
            <w:r w:rsidR="00351D11">
              <w:t xml:space="preserve">регион </w:t>
            </w:r>
            <w:r w:rsidR="00F92CCE" w:rsidRPr="00F92CCE">
              <w:t>счита</w:t>
            </w:r>
            <w:r w:rsidR="00351D11">
              <w:t>е</w:t>
            </w:r>
            <w:r w:rsidR="00F92CCE" w:rsidRPr="00F92CCE">
              <w:t xml:space="preserve">т, </w:t>
            </w:r>
            <w:r w:rsidRPr="00F92CCE">
              <w:t xml:space="preserve">что </w:t>
            </w:r>
            <w:r>
              <w:t>в</w:t>
            </w:r>
            <w:r w:rsidR="00351D11">
              <w:t xml:space="preserve"> процессе модернизации структура меняться не будет, </w:t>
            </w:r>
            <w:r w:rsidR="00F92CCE" w:rsidRPr="00F92CCE">
              <w:t xml:space="preserve">то «как будет» все равно заполняется и будет идентично состоянию «как есть», и по тексту </w:t>
            </w:r>
            <w:r w:rsidR="00351D11">
              <w:t>необходимо указать</w:t>
            </w:r>
            <w:r w:rsidR="00F92CCE" w:rsidRPr="00F92CCE">
              <w:t>, что структура не меняется</w:t>
            </w:r>
            <w:r>
              <w:t>.</w:t>
            </w:r>
          </w:p>
        </w:tc>
      </w:tr>
      <w:tr w:rsidR="003423A7" w:rsidRPr="0060212A" w14:paraId="5B861F27" w14:textId="77777777" w:rsidTr="003E4316">
        <w:tc>
          <w:tcPr>
            <w:tcW w:w="540" w:type="dxa"/>
          </w:tcPr>
          <w:p w14:paraId="637EDA84" w14:textId="3DE1AC72" w:rsidR="003423A7" w:rsidRPr="0060212A" w:rsidRDefault="003423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2306" w:type="dxa"/>
          </w:tcPr>
          <w:p w14:paraId="1491EE9F" w14:textId="7E6FB4EC" w:rsidR="003423A7" w:rsidRPr="0060212A" w:rsidRDefault="003423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12A">
              <w:rPr>
                <w:rFonts w:ascii="Times New Roman" w:hAnsi="Times New Roman" w:cs="Times New Roman"/>
                <w:sz w:val="24"/>
                <w:szCs w:val="24"/>
              </w:rPr>
              <w:t>Новосибирская область</w:t>
            </w:r>
          </w:p>
        </w:tc>
        <w:tc>
          <w:tcPr>
            <w:tcW w:w="5975" w:type="dxa"/>
          </w:tcPr>
          <w:p w14:paraId="3D7BF61F" w14:textId="40372133" w:rsidR="003423A7" w:rsidRPr="0060212A" w:rsidRDefault="003423A7" w:rsidP="00B079E9">
            <w:pPr>
              <w:pStyle w:val="a4"/>
            </w:pPr>
            <w:r w:rsidRPr="0060212A">
              <w:t>В образце гарантийного письма отсутствовала информация о количестве точек присутствия.  Количество точек присутствия должно быть указано с управляющим центром? В соглашении с Рострудом у нас количество точек с учетом управляющего центра. Это не правильно?</w:t>
            </w:r>
          </w:p>
        </w:tc>
        <w:tc>
          <w:tcPr>
            <w:tcW w:w="5739" w:type="dxa"/>
          </w:tcPr>
          <w:p w14:paraId="6246DDDF" w14:textId="77777777" w:rsidR="003423A7" w:rsidRPr="0060212A" w:rsidRDefault="00DD0B0D" w:rsidP="00B079E9">
            <w:pPr>
              <w:pStyle w:val="a4"/>
            </w:pPr>
            <w:r w:rsidRPr="0060212A">
              <w:t>Управляющий ЦЗН учитывается как точка ремонта в соглашении с Рострудом/Минтрудом.</w:t>
            </w:r>
          </w:p>
          <w:p w14:paraId="579DCB1E" w14:textId="1A18D90D" w:rsidR="00DD0B0D" w:rsidRPr="0060212A" w:rsidRDefault="00DD0B0D" w:rsidP="00B079E9">
            <w:pPr>
              <w:pStyle w:val="a4"/>
            </w:pPr>
            <w:r w:rsidRPr="0060212A">
              <w:t xml:space="preserve">В </w:t>
            </w:r>
            <w:r w:rsidR="007859F8" w:rsidRPr="0060212A">
              <w:t>Приложениях к</w:t>
            </w:r>
            <w:r w:rsidRPr="0060212A">
              <w:t xml:space="preserve"> Пояснительной записке </w:t>
            </w:r>
            <w:r w:rsidR="007859F8">
              <w:t xml:space="preserve">Управляющий ЦЗН </w:t>
            </w:r>
            <w:r w:rsidRPr="0060212A">
              <w:t>не нумеруется (так как там не оказываются меры ГП).</w:t>
            </w:r>
            <w:r w:rsidR="007859F8">
              <w:t xml:space="preserve"> </w:t>
            </w:r>
            <w:r w:rsidRPr="0060212A">
              <w:t>В презентации в круговой диаграмме не указывается (так как там прописываются только точки присутствия</w:t>
            </w:r>
            <w:r w:rsidR="007859F8">
              <w:t xml:space="preserve"> – ЦЗН, которые оказывают меры ГП</w:t>
            </w:r>
            <w:r w:rsidRPr="0060212A">
              <w:t>).</w:t>
            </w:r>
          </w:p>
        </w:tc>
      </w:tr>
    </w:tbl>
    <w:p w14:paraId="2A296E65" w14:textId="77777777" w:rsidR="003440D4" w:rsidRPr="0060212A" w:rsidRDefault="003440D4">
      <w:pPr>
        <w:rPr>
          <w:rFonts w:ascii="Times New Roman" w:hAnsi="Times New Roman" w:cs="Times New Roman"/>
          <w:sz w:val="24"/>
          <w:szCs w:val="24"/>
        </w:rPr>
      </w:pPr>
    </w:p>
    <w:sectPr w:rsidR="003440D4" w:rsidRPr="0060212A" w:rsidSect="003E4316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CE6"/>
    <w:rsid w:val="00204A22"/>
    <w:rsid w:val="003423A7"/>
    <w:rsid w:val="003440D4"/>
    <w:rsid w:val="00351D11"/>
    <w:rsid w:val="003D19C4"/>
    <w:rsid w:val="003E4316"/>
    <w:rsid w:val="004A4EEB"/>
    <w:rsid w:val="004C02E5"/>
    <w:rsid w:val="0060212A"/>
    <w:rsid w:val="00693FB8"/>
    <w:rsid w:val="007859F8"/>
    <w:rsid w:val="007C5CE6"/>
    <w:rsid w:val="009A53D3"/>
    <w:rsid w:val="009D7FF0"/>
    <w:rsid w:val="00B079E9"/>
    <w:rsid w:val="00C015F8"/>
    <w:rsid w:val="00C65258"/>
    <w:rsid w:val="00DD0B0D"/>
    <w:rsid w:val="00ED4F4F"/>
    <w:rsid w:val="00F92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142E6"/>
  <w15:chartTrackingRefBased/>
  <w15:docId w15:val="{00C9E8C0-51F7-4AC3-93E0-881B34C66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652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C015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">
    <w:name w:val="s_1"/>
    <w:basedOn w:val="a"/>
    <w:rsid w:val="00ED4F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ED4F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69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8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.garant.r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internet.garant.ru/" TargetMode="External"/><Relationship Id="rId10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hyperlink" Target="https://internet.garant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4</Pages>
  <Words>953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ms_zamotina</dc:creator>
  <cp:keywords/>
  <dc:description/>
  <cp:lastModifiedBy>ms_zamotina</cp:lastModifiedBy>
  <cp:revision>12</cp:revision>
  <dcterms:created xsi:type="dcterms:W3CDTF">2026-02-25T06:28:00Z</dcterms:created>
  <dcterms:modified xsi:type="dcterms:W3CDTF">2026-02-26T08:40:00Z</dcterms:modified>
</cp:coreProperties>
</file>