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1000000">
      <w:r>
        <w:rPr>
          <w:b w:val="1"/>
        </w:rPr>
        <w:t>Скрипт взаимодействия цифровых консультантов сектора цифровых сервисов с клиентами</w:t>
      </w:r>
      <w:r>
        <w:t>.</w:t>
      </w:r>
    </w:p>
    <w:p w14:paraId="02000000">
      <w:r>
        <w:t>Для эффективного взаимодействия цифровых консультантов сектора цифровых сервисов с клиентами рекомендуем использовать в работе модель поведения и общения. Важно, чтобы цифровой консультант знал основные принципы взаимодействия с клиентами.</w:t>
      </w:r>
    </w:p>
    <w:p w14:paraId="03000000">
      <w:r>
        <w:t>1. Приветствие и представление. Начните общение с клиентом с короткого и дружелюбного приветствия, представьтесь и уточните, какая помощь нужна.</w:t>
      </w:r>
    </w:p>
    <w:p w14:paraId="04000000">
      <w:r>
        <w:t>«Добрый день! Я консультант (имя). Чем я могу Вам помочь?»</w:t>
      </w:r>
    </w:p>
    <w:p w14:paraId="05000000"/>
    <w:p w14:paraId="06000000">
      <w:r>
        <w:t>2. Понимание потребностей. Задайте вопросы, чтобы разобраться в проблеме или запросе клиента. Важно активно слушать и задавать уточняющие вопросы.</w:t>
      </w:r>
    </w:p>
    <w:p w14:paraId="07000000">
      <w:r>
        <w:t>Пример:</w:t>
      </w:r>
    </w:p>
    <w:p w14:paraId="08000000">
      <w:r>
        <w:t>Клиент: «Мне необходимо зарегистрироваться в центре занятости»</w:t>
      </w:r>
    </w:p>
    <w:p w14:paraId="09000000">
      <w:r>
        <w:t>Консультант: «Подать заявление можно в зоне цифровых сервисов на портале «Работа России». Вход на портал возможен под подтвержденной учетной записью с госуслуг. »</w:t>
      </w:r>
    </w:p>
    <w:p w14:paraId="0A000000"/>
    <w:p w14:paraId="0B000000">
      <w:r>
        <w:t>3. Предоставление информации. После того как вы поняли потребности клиента, предоставьте ему необходимую информацию или решение.</w:t>
      </w:r>
    </w:p>
    <w:p w14:paraId="0C000000">
      <w:r>
        <w:t>У Вас есть подтвержденная учетная запись с госуслуг?</w:t>
      </w:r>
    </w:p>
    <w:tbl>
      <w:tblPr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4933"/>
        <w:gridCol w:w="4933"/>
      </w:tblGrid>
      <w:tr>
        <w:trPr>
          <w:trHeight w:hRule="atLeast" w:val="368"/>
        </w:trPr>
        <w:tc>
          <w:tcPr>
            <w:tcW w:type="dxa" w:w="493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D000000">
            <w:r>
              <w:t>Клиент: «Да»</w:t>
            </w:r>
          </w:p>
        </w:tc>
        <w:tc>
          <w:tcPr>
            <w:tcW w:type="dxa" w:w="493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E000000">
            <w:r>
              <w:t>Клиент: «Нет»</w:t>
            </w:r>
          </w:p>
        </w:tc>
      </w:tr>
      <w:tr>
        <w:trPr>
          <w:trHeight w:hRule="atLeast" w:val="360"/>
        </w:trPr>
        <w:tc>
          <w:tcPr>
            <w:tcW w:type="dxa" w:w="493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F000000">
            <w:r>
              <w:t>Консультант: «В браузере Вам необходимо набрать «Работа России» и в правом верхнем углу нажать на кнопку «Войти с помощью госуслуг». Вам нужна моя помощь для входа на портал «Работа России» под своей учетной записью?»</w:t>
            </w:r>
          </w:p>
        </w:tc>
        <w:tc>
          <w:tcPr>
            <w:tcW w:type="dxa" w:w="493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0000000">
            <w:r>
              <w:t xml:space="preserve">Консультант: «Предлагаю Вам зарегистрировать на госуслугах в зоне цифровых сервисов. </w:t>
            </w:r>
          </w:p>
          <w:p w14:paraId="11000000">
            <w:pPr>
              <w:spacing w:after="120" w:before="120"/>
              <w:ind w:hanging="120" w:left="120" w:right="120"/>
              <w:jc w:val="left"/>
            </w:pPr>
            <w:r>
              <w:rPr>
                <w:rStyle w:val="Style_1_ch"/>
              </w:rPr>
              <w:t>Процесс регистрации прост и не отнимет много времени. Что потребуется сделать:</w:t>
            </w:r>
          </w:p>
          <w:p w14:paraId="12000000">
            <w:pPr>
              <w:numPr>
                <w:numId w:val="1"/>
              </w:numPr>
              <w:spacing w:after="120" w:before="180"/>
              <w:ind w:right="120"/>
              <w:jc w:val="left"/>
            </w:pPr>
            <w:r>
              <w:rPr>
                <w:rStyle w:val="Style_1_ch"/>
              </w:rPr>
              <w:t>войти на сайт;</w:t>
            </w:r>
          </w:p>
          <w:p w14:paraId="13000000">
            <w:pPr>
              <w:numPr>
                <w:numId w:val="1"/>
              </w:numPr>
              <w:spacing w:after="120" w:before="120"/>
              <w:ind w:right="120"/>
              <w:jc w:val="left"/>
            </w:pPr>
            <w:r>
              <w:rPr>
                <w:rStyle w:val="Style_1_ch"/>
              </w:rPr>
              <w:t>выбрать свой регион проживания (обычно это происходит автоматически, но иногда может возникнуть необходимость ввести сведения вручную);</w:t>
            </w:r>
          </w:p>
          <w:p w14:paraId="14000000">
            <w:pPr>
              <w:numPr>
                <w:numId w:val="1"/>
              </w:numPr>
              <w:spacing w:after="120" w:before="120"/>
              <w:ind w:right="120"/>
              <w:jc w:val="left"/>
            </w:pPr>
            <w:r>
              <w:rPr>
                <w:rStyle w:val="Style_1_ch"/>
              </w:rPr>
              <w:t>в верхнем правом углу выбрать надпись «личный кабинет»;</w:t>
            </w:r>
          </w:p>
          <w:p w14:paraId="15000000">
            <w:pPr>
              <w:numPr>
                <w:numId w:val="1"/>
              </w:numPr>
              <w:spacing w:after="120" w:before="120"/>
              <w:ind w:right="120"/>
              <w:jc w:val="left"/>
            </w:pPr>
            <w:r>
              <w:rPr>
                <w:rStyle w:val="Style_1_ch"/>
              </w:rPr>
              <w:t>заполнить открывшуюся форму; Внесите данные в пустые поля</w:t>
            </w:r>
          </w:p>
          <w:p w14:paraId="16000000">
            <w:pPr>
              <w:numPr>
                <w:numId w:val="1"/>
              </w:numPr>
              <w:spacing w:after="120" w:before="120"/>
              <w:ind w:right="120"/>
              <w:jc w:val="left"/>
            </w:pPr>
            <w:r>
              <w:rPr>
                <w:rStyle w:val="Style_1_ch"/>
              </w:rPr>
              <w:t>подтвердить свое согласие с политикой конфиденциальности сайта.</w:t>
            </w:r>
          </w:p>
        </w:tc>
      </w:tr>
    </w:tbl>
    <w:p w14:paraId="17000000"/>
    <w:p w14:paraId="18000000">
      <w:r>
        <w:t>4. Проверка понимания. Убедитесь, что клиент понял предоставленную информацию. Задайте вопросы и предложите дополнительную помощь при необходимости.</w:t>
      </w:r>
    </w:p>
    <w:p w14:paraId="19000000">
      <w:r>
        <w:t>Пример: «Вам нужна помощь для входа на портал «Работа России»/госуслуги</w:t>
      </w:r>
    </w:p>
    <w:p w14:paraId="1A000000">
      <w:r>
        <w:t>Клиент: «Да», (в случае ответа «нет» консультан оставляет его в зоне цифровых сервисов до окончания процесса регистрации)</w:t>
      </w:r>
    </w:p>
    <w:p w14:paraId="1B000000">
      <w:r>
        <w:t>Консультант: показывает клиенту на портале по каким вкладкам нужно пройти, чтобы зарегистрироваться на портале, разместить резюме и подать заявление. В случае, если клиент не помнит логин и пароль от учетной записи от госуслуг, консультант предлагает ему восстановить пароль на Государственных услугах.</w:t>
      </w:r>
    </w:p>
    <w:p w14:paraId="1C000000">
      <w:r>
        <w:t>Как восстановить пароль от госуслуг описано в Приложении 1.</w:t>
      </w:r>
    </w:p>
    <w:p w14:paraId="1D000000">
      <w:r>
        <w:t>В случае, если у клиента отсутствует личный кабинет на госуслугах, к</w:t>
      </w:r>
      <w:r>
        <w:t>онсультан показывает клиенту как зарегистрироваться на госуслугах. Направляет к специалисту для подтверждения учетной записи. После подтверждения учетной записи, показывает как зарегистрироваться на портале «Работа России».</w:t>
      </w:r>
    </w:p>
    <w:p w14:paraId="1E000000"/>
    <w:p w14:paraId="1F000000">
      <w:pPr>
        <w:pStyle w:val="Style_1"/>
      </w:pPr>
      <w:r>
        <w:t>5. Завершение общения. Поблагодарите клиента за обращение, предложите оставить отзыв или задать дополнительные вопросы.</w:t>
      </w:r>
    </w:p>
    <w:p w14:paraId="20000000">
      <w:pPr>
        <w:pStyle w:val="Style_1"/>
      </w:pPr>
      <w:r>
        <w:t>Пример: «Благодарим за обращение в центр занятости. Нам важно Ваше мнение, оставьте отзыв о работе зоны цифровых сервисов. У Вас остались вопросы, я могу чем-то еще Вам помочь?»</w:t>
      </w:r>
    </w:p>
    <w:p w14:paraId="21000000">
      <w:pPr>
        <w:pStyle w:val="Style_1"/>
      </w:pPr>
    </w:p>
    <w:p w14:paraId="22000000">
      <w:pPr>
        <w:pStyle w:val="Style_1"/>
        <w:ind/>
        <w:jc w:val="right"/>
      </w:pPr>
      <w:r>
        <w:t>Приложение 1</w:t>
      </w:r>
    </w:p>
    <w:p w14:paraId="23000000">
      <w:pPr>
        <w:spacing w:after="0" w:before="0"/>
        <w:ind w:firstLine="0" w:left="0" w:right="0"/>
        <w:jc w:val="left"/>
        <w:rPr>
          <w:rFonts w:ascii="Arial" w:hAnsi="Arial"/>
          <w:b w:val="0"/>
          <w:i w:val="0"/>
          <w:caps w:val="0"/>
          <w:color w:val="333333"/>
          <w:spacing w:val="0"/>
          <w:sz w:val="24"/>
          <w:highlight w:val="white"/>
        </w:rPr>
      </w:pPr>
    </w:p>
    <w:p w14:paraId="24000000">
      <w:pPr>
        <w:pStyle w:val="Style_1"/>
      </w:pPr>
      <w:r>
        <w:t>Чтобы восстановить пароль от портала «Госуслуги», выполните следующие шаги:</w:t>
      </w:r>
    </w:p>
    <w:p w14:paraId="25000000">
      <w:pPr>
        <w:pStyle w:val="Style_1"/>
        <w:numPr>
          <w:numId w:val="2"/>
        </w:numPr>
      </w:pPr>
      <w:r>
        <w:t>Кликните на странице авторизации портала «Восстановить пароль».</w:t>
      </w:r>
    </w:p>
    <w:p w14:paraId="26000000">
      <w:pPr>
        <w:pStyle w:val="Style_1"/>
      </w:pPr>
      <w:r>
        <w:t>Введите номер мобильного телефона или адрес электронной почты, указанные при регистрации (если у вас упрощенная учетная запись), либо номер СНИЛС (если запись стандартная или подтверждённая).</w:t>
      </w:r>
    </w:p>
    <w:p w14:paraId="27000000">
      <w:pPr>
        <w:pStyle w:val="Style_1"/>
        <w:numPr>
          <w:numId w:val="2"/>
        </w:numPr>
        <w:ind w:firstLine="0" w:left="0"/>
      </w:pPr>
      <w:r>
        <w:t>В течение нескольких секунд на номер телефона или адрес электронной почты поступит код восстановления пароля, который необходимо указать на сайте госуслуг.</w:t>
      </w:r>
    </w:p>
    <w:p w14:paraId="28000000">
      <w:pPr>
        <w:pStyle w:val="Style_1"/>
        <w:numPr>
          <w:numId w:val="2"/>
        </w:numPr>
        <w:ind w:firstLine="0" w:left="0"/>
      </w:pPr>
      <w:r>
        <w:t>Если номер телефона изменился или нет электронной почты, восстановить доступ к электронному ресурсу можно специалиста ценра занятости, осуществляющем подтверждение личности в Единой системе идентификации и аутентификации (ЕСИА). При себе необходимо иметь документ, удостоверяющий личность, и СНИЛС. Специалист быстро сверит данные и восстановит доступ к порталу госуслуг.</w:t>
      </w:r>
    </w:p>
    <w:p w14:paraId="29000000">
      <w:pPr>
        <w:pStyle w:val="Style_1"/>
      </w:pPr>
    </w:p>
    <w:sectPr>
      <w:pgSz w:h="16838" w:orient="portrait" w:w="11906"/>
      <w:pgMar w:bottom="1134" w:left="1304" w:right="737" w:top="1134"/>
      <w:pgNumType w:fmt="decimal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numbering.xml><?xml version="1.0" encoding="utf-8"?>
<w:number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abstractNum w:abstractNumId="0">
    <w:lvl w:ilvl="0">
      <w:start w:val="1"/>
      <w:numFmt w:val="decimal"/>
      <w:lvlText w:val="%1."/>
      <w:pPr>
        <w:ind w:hanging="360" w:left="720"/>
      </w:pPr>
    </w:lvl>
    <w:lvl w:ilvl="1">
      <w:start w:val="1"/>
      <w:numFmt w:val="lowerLetter"/>
      <w:lvlText w:val="%2."/>
      <w:pPr>
        <w:ind w:hanging="360" w:left="1440"/>
      </w:pPr>
    </w:lvl>
    <w:lvl w:ilvl="2">
      <w:start w:val="1"/>
      <w:numFmt w:val="lowerRoman"/>
      <w:lvlText w:val="%3."/>
      <w:lvlJc w:val="right"/>
      <w:pPr>
        <w:ind w:hanging="360" w:left="2160"/>
      </w:pPr>
    </w:lvl>
    <w:lvl w:ilvl="3">
      <w:start w:val="1"/>
      <w:numFmt w:val="decimal"/>
      <w:lvlText w:val="%4."/>
      <w:pPr>
        <w:ind w:hanging="360" w:left="2880"/>
      </w:pPr>
    </w:lvl>
    <w:lvl w:ilvl="4">
      <w:start w:val="1"/>
      <w:numFmt w:val="lowerLetter"/>
      <w:lvlText w:val="%5."/>
      <w:pPr>
        <w:ind w:hanging="360" w:left="3600"/>
      </w:pPr>
    </w:lvl>
    <w:lvl w:ilvl="5">
      <w:start w:val="1"/>
      <w:numFmt w:val="lowerRoman"/>
      <w:lvlText w:val="%6."/>
      <w:lvlJc w:val="right"/>
      <w:pPr>
        <w:ind w:hanging="360" w:left="4320"/>
      </w:pPr>
    </w:lvl>
    <w:lvl w:ilvl="6">
      <w:start w:val="1"/>
      <w:numFmt w:val="decimal"/>
      <w:lvlText w:val="%7."/>
      <w:pPr>
        <w:ind w:hanging="360" w:left="5040"/>
      </w:pPr>
    </w:lvl>
    <w:lvl w:ilvl="7">
      <w:start w:val="1"/>
      <w:numFmt w:val="lowerLetter"/>
      <w:lvlText w:val="%8."/>
      <w:pPr>
        <w:ind w:hanging="360" w:left="5760"/>
      </w:pPr>
    </w:lvl>
    <w:lvl w:ilvl="8">
      <w:start w:val="1"/>
      <w:numFmt w:val="lowerRoman"/>
      <w:lvlText w:val="%9."/>
      <w:lvlJc w:val="right"/>
      <w:pPr>
        <w:ind w:hanging="360" w:left="6480"/>
      </w:pPr>
    </w:lvl>
  </w:abstractNum>
  <w:abstractNum w:abstractNumId="1">
    <w:lvl w:ilvl="0">
      <w:start w:val="1"/>
      <w:numFmt w:val="decimal"/>
      <w:lvlText w:val="%1."/>
      <w:pPr>
        <w:ind w:hanging="360" w:left="720"/>
      </w:pPr>
    </w:lvl>
    <w:lvl w:ilvl="1">
      <w:start w:val="1"/>
      <w:numFmt w:val="lowerLetter"/>
      <w:lvlText w:val="%2."/>
      <w:pPr>
        <w:ind w:hanging="360" w:left="1440"/>
      </w:pPr>
    </w:lvl>
    <w:lvl w:ilvl="2">
      <w:start w:val="1"/>
      <w:numFmt w:val="lowerRoman"/>
      <w:lvlText w:val="%3."/>
      <w:lvlJc w:val="right"/>
      <w:pPr>
        <w:ind w:hanging="360" w:left="2160"/>
      </w:pPr>
    </w:lvl>
    <w:lvl w:ilvl="3">
      <w:start w:val="1"/>
      <w:numFmt w:val="decimal"/>
      <w:lvlText w:val="%4."/>
      <w:pPr>
        <w:ind w:hanging="360" w:left="2880"/>
      </w:pPr>
    </w:lvl>
    <w:lvl w:ilvl="4">
      <w:start w:val="1"/>
      <w:numFmt w:val="lowerLetter"/>
      <w:lvlText w:val="%5."/>
      <w:pPr>
        <w:ind w:hanging="360" w:left="3600"/>
      </w:pPr>
    </w:lvl>
    <w:lvl w:ilvl="5">
      <w:start w:val="1"/>
      <w:numFmt w:val="lowerRoman"/>
      <w:lvlText w:val="%6."/>
      <w:lvlJc w:val="right"/>
      <w:pPr>
        <w:ind w:hanging="360" w:left="4320"/>
      </w:pPr>
    </w:lvl>
    <w:lvl w:ilvl="6">
      <w:start w:val="1"/>
      <w:numFmt w:val="decimal"/>
      <w:lvlText w:val="%7."/>
      <w:pPr>
        <w:ind w:hanging="360" w:left="5040"/>
      </w:pPr>
    </w:lvl>
    <w:lvl w:ilvl="7">
      <w:start w:val="1"/>
      <w:numFmt w:val="lowerLetter"/>
      <w:lvlText w:val="%8."/>
      <w:pPr>
        <w:ind w:hanging="360" w:left="5760"/>
      </w:pPr>
    </w:lvl>
    <w:lvl w:ilvl="8">
      <w:start w:val="1"/>
      <w:numFmt w:val="lowerRoman"/>
      <w:lvlText w:val="%9."/>
      <w:lvlJc w:val="right"/>
      <w:pPr>
        <w:ind w:hanging="360" w:left="6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XO Thames" w:hAnsi="XO Thames"/>
        <w:color w:val="000000"/>
        <w:spacing w:val="0"/>
        <w:sz w:val="24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1" w:type="paragraph">
    <w:name w:val="Normal"/>
    <w:link w:val="Style_1_ch"/>
    <w:uiPriority w:val="0"/>
    <w:qFormat/>
    <w:pPr>
      <w:spacing w:line="240" w:lineRule="auto"/>
      <w:ind/>
      <w:jc w:val="both"/>
    </w:pPr>
    <w:rPr>
      <w:rFonts w:ascii="XO Thames" w:hAnsi="XO Thames"/>
      <w:sz w:val="28"/>
    </w:rPr>
  </w:style>
  <w:style w:default="1" w:styleId="Style_1_ch" w:type="character">
    <w:name w:val="Normal"/>
    <w:link w:val="Style_1"/>
    <w:rPr>
      <w:rFonts w:ascii="XO Thames" w:hAnsi="XO Thames"/>
      <w:sz w:val="28"/>
    </w:rPr>
  </w:style>
  <w:style w:styleId="Style_2" w:type="paragraph">
    <w:name w:val="toc 2"/>
    <w:next w:val="Style_1"/>
    <w:link w:val="Style_2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2_ch" w:type="character">
    <w:name w:val="toc 2"/>
    <w:link w:val="Style_2"/>
    <w:rPr>
      <w:rFonts w:ascii="XO Thames" w:hAnsi="XO Thames"/>
      <w:sz w:val="28"/>
    </w:rPr>
  </w:style>
  <w:style w:styleId="Style_3" w:type="paragraph">
    <w:name w:val="toc 4"/>
    <w:next w:val="Style_1"/>
    <w:link w:val="Style_3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3_ch" w:type="character">
    <w:name w:val="toc 4"/>
    <w:link w:val="Style_3"/>
    <w:rPr>
      <w:rFonts w:ascii="XO Thames" w:hAnsi="XO Thames"/>
      <w:sz w:val="28"/>
    </w:rPr>
  </w:style>
  <w:style w:styleId="Style_4" w:type="paragraph">
    <w:name w:val="toc 6"/>
    <w:next w:val="Style_1"/>
    <w:link w:val="Style_4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4_ch" w:type="character">
    <w:name w:val="toc 6"/>
    <w:link w:val="Style_4"/>
    <w:rPr>
      <w:rFonts w:ascii="XO Thames" w:hAnsi="XO Thames"/>
      <w:sz w:val="28"/>
    </w:rPr>
  </w:style>
  <w:style w:styleId="Style_5" w:type="paragraph">
    <w:name w:val="toc 7"/>
    <w:next w:val="Style_1"/>
    <w:link w:val="Style_5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5_ch" w:type="character">
    <w:name w:val="toc 7"/>
    <w:link w:val="Style_5"/>
    <w:rPr>
      <w:rFonts w:ascii="XO Thames" w:hAnsi="XO Thames"/>
      <w:sz w:val="28"/>
    </w:rPr>
  </w:style>
  <w:style w:styleId="Style_6" w:type="paragraph">
    <w:name w:val="Endnote"/>
    <w:link w:val="Style_6_ch"/>
    <w:pPr>
      <w:ind w:firstLine="851" w:left="0"/>
      <w:jc w:val="both"/>
    </w:pPr>
    <w:rPr>
      <w:rFonts w:ascii="XO Thames" w:hAnsi="XO Thames"/>
      <w:sz w:val="22"/>
    </w:rPr>
  </w:style>
  <w:style w:styleId="Style_6_ch" w:type="character">
    <w:name w:val="Endnote"/>
    <w:link w:val="Style_6"/>
    <w:rPr>
      <w:rFonts w:ascii="XO Thames" w:hAnsi="XO Thames"/>
      <w:sz w:val="22"/>
    </w:rPr>
  </w:style>
  <w:style w:styleId="Style_7" w:type="paragraph">
    <w:name w:val="heading 3"/>
    <w:next w:val="Style_1"/>
    <w:link w:val="Style_7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7_ch" w:type="character">
    <w:name w:val="heading 3"/>
    <w:link w:val="Style_7"/>
    <w:rPr>
      <w:rFonts w:ascii="XO Thames" w:hAnsi="XO Thames"/>
      <w:b w:val="1"/>
      <w:sz w:val="26"/>
    </w:rPr>
  </w:style>
  <w:style w:styleId="Style_8" w:type="paragraph">
    <w:name w:val="toc 3"/>
    <w:next w:val="Style_1"/>
    <w:link w:val="Style_8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8_ch" w:type="character">
    <w:name w:val="toc 3"/>
    <w:link w:val="Style_8"/>
    <w:rPr>
      <w:rFonts w:ascii="XO Thames" w:hAnsi="XO Thames"/>
      <w:sz w:val="28"/>
    </w:rPr>
  </w:style>
  <w:style w:styleId="Style_9" w:type="paragraph">
    <w:name w:val="heading 5"/>
    <w:next w:val="Style_1"/>
    <w:link w:val="Style_9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9_ch" w:type="character">
    <w:name w:val="heading 5"/>
    <w:link w:val="Style_9"/>
    <w:rPr>
      <w:rFonts w:ascii="XO Thames" w:hAnsi="XO Thames"/>
      <w:b w:val="1"/>
      <w:sz w:val="22"/>
    </w:rPr>
  </w:style>
  <w:style w:styleId="Style_10" w:type="paragraph">
    <w:name w:val="heading 1"/>
    <w:next w:val="Style_1"/>
    <w:link w:val="Style_10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10_ch" w:type="character">
    <w:name w:val="heading 1"/>
    <w:link w:val="Style_10"/>
    <w:rPr>
      <w:rFonts w:ascii="XO Thames" w:hAnsi="XO Thames"/>
      <w:b w:val="1"/>
      <w:sz w:val="32"/>
    </w:rPr>
  </w:style>
  <w:style w:styleId="Style_11" w:type="paragraph">
    <w:name w:val="Hyperlink"/>
    <w:link w:val="Style_11_ch"/>
    <w:rPr>
      <w:color w:val="0000FF"/>
      <w:u w:val="single"/>
    </w:rPr>
  </w:style>
  <w:style w:styleId="Style_11_ch" w:type="character">
    <w:name w:val="Hyperlink"/>
    <w:link w:val="Style_11"/>
    <w:rPr>
      <w:color w:val="0000FF"/>
      <w:u w:val="single"/>
    </w:rPr>
  </w:style>
  <w:style w:styleId="Style_12" w:type="paragraph">
    <w:name w:val="Footnote"/>
    <w:link w:val="Style_12_ch"/>
    <w:pPr>
      <w:ind w:firstLine="851" w:left="0"/>
      <w:jc w:val="both"/>
    </w:pPr>
    <w:rPr>
      <w:rFonts w:ascii="XO Thames" w:hAnsi="XO Thames"/>
      <w:sz w:val="22"/>
    </w:rPr>
  </w:style>
  <w:style w:styleId="Style_12_ch" w:type="character">
    <w:name w:val="Footnote"/>
    <w:link w:val="Style_12"/>
    <w:rPr>
      <w:rFonts w:ascii="XO Thames" w:hAnsi="XO Thames"/>
      <w:sz w:val="22"/>
    </w:rPr>
  </w:style>
  <w:style w:styleId="Style_13" w:type="paragraph">
    <w:name w:val="toc 1"/>
    <w:next w:val="Style_1"/>
    <w:link w:val="Style_13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13_ch" w:type="character">
    <w:name w:val="toc 1"/>
    <w:link w:val="Style_13"/>
    <w:rPr>
      <w:rFonts w:ascii="XO Thames" w:hAnsi="XO Thames"/>
      <w:b w:val="1"/>
      <w:sz w:val="28"/>
    </w:rPr>
  </w:style>
  <w:style w:styleId="Style_14" w:type="paragraph">
    <w:name w:val="Header and Footer"/>
    <w:link w:val="Style_14_ch"/>
    <w:pPr>
      <w:spacing w:line="240" w:lineRule="auto"/>
      <w:ind/>
      <w:jc w:val="both"/>
    </w:pPr>
    <w:rPr>
      <w:rFonts w:ascii="XO Thames" w:hAnsi="XO Thames"/>
      <w:sz w:val="28"/>
    </w:rPr>
  </w:style>
  <w:style w:styleId="Style_14_ch" w:type="character">
    <w:name w:val="Header and Footer"/>
    <w:link w:val="Style_14"/>
    <w:rPr>
      <w:rFonts w:ascii="XO Thames" w:hAnsi="XO Thames"/>
      <w:sz w:val="28"/>
    </w:rPr>
  </w:style>
  <w:style w:styleId="Style_15" w:type="paragraph">
    <w:name w:val="toc 9"/>
    <w:next w:val="Style_1"/>
    <w:link w:val="Style_15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15_ch" w:type="character">
    <w:name w:val="toc 9"/>
    <w:link w:val="Style_15"/>
    <w:rPr>
      <w:rFonts w:ascii="XO Thames" w:hAnsi="XO Thames"/>
      <w:sz w:val="28"/>
    </w:rPr>
  </w:style>
  <w:style w:styleId="Style_16" w:type="paragraph">
    <w:name w:val="toc 8"/>
    <w:next w:val="Style_1"/>
    <w:link w:val="Style_16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16_ch" w:type="character">
    <w:name w:val="toc 8"/>
    <w:link w:val="Style_16"/>
    <w:rPr>
      <w:rFonts w:ascii="XO Thames" w:hAnsi="XO Thames"/>
      <w:sz w:val="28"/>
    </w:rPr>
  </w:style>
  <w:style w:styleId="Style_17" w:type="paragraph">
    <w:name w:val="toc 5"/>
    <w:next w:val="Style_1"/>
    <w:link w:val="Style_17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17_ch" w:type="character">
    <w:name w:val="toc 5"/>
    <w:link w:val="Style_17"/>
    <w:rPr>
      <w:rFonts w:ascii="XO Thames" w:hAnsi="XO Thames"/>
      <w:sz w:val="28"/>
    </w:rPr>
  </w:style>
  <w:style w:styleId="Style_18" w:type="paragraph">
    <w:name w:val="Subtitle"/>
    <w:next w:val="Style_1"/>
    <w:link w:val="Style_18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18_ch" w:type="character">
    <w:name w:val="Subtitle"/>
    <w:link w:val="Style_18"/>
    <w:rPr>
      <w:rFonts w:ascii="XO Thames" w:hAnsi="XO Thames"/>
      <w:i w:val="1"/>
      <w:sz w:val="24"/>
    </w:rPr>
  </w:style>
  <w:style w:styleId="Style_19" w:type="paragraph">
    <w:name w:val="Title"/>
    <w:next w:val="Style_1"/>
    <w:link w:val="Style_19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19_ch" w:type="character">
    <w:name w:val="Title"/>
    <w:link w:val="Style_19"/>
    <w:rPr>
      <w:rFonts w:ascii="XO Thames" w:hAnsi="XO Thames"/>
      <w:b w:val="1"/>
      <w:caps w:val="1"/>
      <w:sz w:val="40"/>
    </w:rPr>
  </w:style>
  <w:style w:styleId="Style_20" w:type="paragraph">
    <w:name w:val="heading 4"/>
    <w:next w:val="Style_1"/>
    <w:link w:val="Style_20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20_ch" w:type="character">
    <w:name w:val="heading 4"/>
    <w:link w:val="Style_20"/>
    <w:rPr>
      <w:rFonts w:ascii="XO Thames" w:hAnsi="XO Thames"/>
      <w:b w:val="1"/>
      <w:sz w:val="24"/>
    </w:rPr>
  </w:style>
  <w:style w:styleId="Style_21" w:type="paragraph">
    <w:name w:val="heading 2"/>
    <w:next w:val="Style_1"/>
    <w:link w:val="Style_21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21_ch" w:type="character">
    <w:name w:val="heading 2"/>
    <w:link w:val="Style_21"/>
    <w:rPr>
      <w:rFonts w:ascii="XO Thames" w:hAnsi="XO Thames"/>
      <w:b w:val="1"/>
      <w:sz w:val="28"/>
    </w:r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theme/theme1.xml" Type="http://schemas.openxmlformats.org/officeDocument/2006/relationships/theme"/>
  <Relationship Id="rId1" Target="fontTable.xml" Type="http://schemas.openxmlformats.org/officeDocument/2006/relationships/fontTable"/>
  <Relationship Id="rId2" Target="settings.xml" Type="http://schemas.openxmlformats.org/officeDocument/2006/relationships/settings"/>
  <Relationship Id="rId3" Target="styles.xml" Type="http://schemas.openxmlformats.org/officeDocument/2006/relationships/styles"/>
  <Relationship Id="rId4" Target="stylesWithEffects.xml" Type="http://schemas.microsoft.com/office/2007/relationships/stylesWithEffects"/>
  <Relationship Id="rId7" Target="numbering.xml" Type="http://schemas.openxmlformats.org/officeDocument/2006/relationships/numbering"/>
  <Relationship Id="rId5" Target="webSettings.xml" Type="http://schemas.openxmlformats.org/officeDocument/2006/relationships/webSetting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  <a:prstDash val="solid"/>
        </a:ln>
        <a:ln>
          <a:solidFill>
            <a:schemeClr val="phClr"/>
          </a:solidFill>
          <a:prstDash val="solid"/>
        </a:ln>
        <a:ln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MyOffice-CoreFramework-Linux/31-1191.804.9045.819.1@01270b6a23d25f32067dc36f8846da406ea65219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2024-04-04T06:04:15Z</dcterms:modified>
</cp:coreProperties>
</file>