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134C" w14:textId="77777777" w:rsidR="004622CA" w:rsidRDefault="00D27711">
      <w:pPr>
        <w:jc w:val="center"/>
      </w:pPr>
      <w:r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</w:rPr>
        <w:t xml:space="preserve">тчет о результатах пилотной апробации элементов методики измерения показателей клиентоцентричности в СЗН  </w:t>
      </w:r>
    </w:p>
    <w:p w14:paraId="2C910667" w14:textId="77777777" w:rsidR="004622CA" w:rsidRDefault="00D27711">
      <w:pPr>
        <w:jc w:val="center"/>
      </w:pPr>
      <w:r>
        <w:rPr>
          <w:rFonts w:ascii="Times New Roman" w:hAnsi="Times New Roman" w:cs="Times New Roman"/>
          <w:b/>
          <w:bCs/>
        </w:rPr>
        <w:t>на базе отделения ГАУ ЦЗН ТО по городу Тобольску и Тобольскому району</w:t>
      </w:r>
    </w:p>
    <w:p w14:paraId="52AF754F" w14:textId="77777777" w:rsidR="004622CA" w:rsidRDefault="004622CA">
      <w:pPr>
        <w:spacing w:after="240"/>
        <w:jc w:val="center"/>
        <w:rPr>
          <w:rFonts w:ascii="Times New Roman" w:hAnsi="Times New Roman" w:cs="Times New Roman"/>
          <w:b/>
          <w:bCs/>
        </w:rPr>
      </w:pPr>
    </w:p>
    <w:p w14:paraId="30343403" w14:textId="77777777" w:rsidR="004622CA" w:rsidRDefault="00D27711">
      <w:pPr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 Отчет о результатах исполнения мероприятий в соответствии с </w:t>
      </w:r>
      <w:r>
        <w:rPr>
          <w:rFonts w:ascii="Times New Roman" w:hAnsi="Times New Roman" w:cs="Times New Roman"/>
          <w:b/>
          <w:bCs/>
        </w:rPr>
        <w:t>дорожной картой</w:t>
      </w:r>
      <w:r>
        <w:rPr>
          <w:rFonts w:ascii="Times New Roman" w:hAnsi="Times New Roman" w:cs="Times New Roman"/>
          <w:b/>
          <w:bCs/>
        </w:rPr>
        <w:br/>
      </w:r>
    </w:p>
    <w:tbl>
      <w:tblPr>
        <w:tblStyle w:val="a9"/>
        <w:tblW w:w="14888" w:type="dxa"/>
        <w:tblLook w:val="04A0" w:firstRow="1" w:lastRow="0" w:firstColumn="1" w:lastColumn="0" w:noHBand="0" w:noVBand="1"/>
      </w:tblPr>
      <w:tblGrid>
        <w:gridCol w:w="988"/>
        <w:gridCol w:w="4279"/>
        <w:gridCol w:w="5100"/>
        <w:gridCol w:w="1933"/>
        <w:gridCol w:w="2588"/>
      </w:tblGrid>
      <w:tr w:rsidR="004622CA" w14:paraId="5B8AC3D1" w14:textId="77777777">
        <w:trPr>
          <w:trHeight w:val="786"/>
        </w:trPr>
        <w:tc>
          <w:tcPr>
            <w:tcW w:w="988" w:type="dxa"/>
            <w:shd w:val="clear" w:color="auto" w:fill="EDEDED"/>
          </w:tcPr>
          <w:p w14:paraId="5DBC2889" w14:textId="77777777" w:rsidR="004622CA" w:rsidRDefault="00D277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279" w:type="dxa"/>
            <w:shd w:val="clear" w:color="auto" w:fill="EDEDED"/>
            <w:vAlign w:val="center"/>
          </w:tcPr>
          <w:p w14:paraId="166BFA9F" w14:textId="77777777" w:rsidR="004622CA" w:rsidRDefault="00D277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5100" w:type="dxa"/>
            <w:shd w:val="clear" w:color="auto" w:fill="EDEDED"/>
            <w:vAlign w:val="center"/>
          </w:tcPr>
          <w:p w14:paraId="477A59FD" w14:textId="77777777" w:rsidR="004622CA" w:rsidRDefault="00D277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  <w:tc>
          <w:tcPr>
            <w:tcW w:w="1933" w:type="dxa"/>
            <w:shd w:val="clear" w:color="auto" w:fill="EDEDED"/>
            <w:vAlign w:val="center"/>
          </w:tcPr>
          <w:p w14:paraId="3BDB098A" w14:textId="77777777" w:rsidR="004622CA" w:rsidRDefault="00D277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исполнения</w:t>
            </w:r>
          </w:p>
        </w:tc>
        <w:tc>
          <w:tcPr>
            <w:tcW w:w="2588" w:type="dxa"/>
            <w:shd w:val="clear" w:color="auto" w:fill="EDEDED"/>
            <w:vAlign w:val="center"/>
          </w:tcPr>
          <w:p w14:paraId="5D09C9AC" w14:textId="77777777" w:rsidR="004622CA" w:rsidRDefault="00D277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Примечание (дополнительные материалы, приложения)</w:t>
            </w:r>
          </w:p>
        </w:tc>
      </w:tr>
      <w:tr w:rsidR="004622CA" w14:paraId="78CD1C36" w14:textId="77777777">
        <w:trPr>
          <w:trHeight w:val="333"/>
        </w:trPr>
        <w:tc>
          <w:tcPr>
            <w:tcW w:w="988" w:type="dxa"/>
            <w:shd w:val="clear" w:color="auto" w:fill="EDEDED"/>
          </w:tcPr>
          <w:p w14:paraId="75871E30" w14:textId="77777777" w:rsidR="004622CA" w:rsidRDefault="00D277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79" w:type="dxa"/>
            <w:shd w:val="clear" w:color="auto" w:fill="EDEDED"/>
          </w:tcPr>
          <w:p w14:paraId="5B9DFB8A" w14:textId="77777777" w:rsidR="004622CA" w:rsidRDefault="00D277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100" w:type="dxa"/>
            <w:shd w:val="clear" w:color="auto" w:fill="EDEDED"/>
          </w:tcPr>
          <w:p w14:paraId="56C7D0BF" w14:textId="77777777" w:rsidR="004622CA" w:rsidRDefault="00D277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33" w:type="dxa"/>
            <w:shd w:val="clear" w:color="auto" w:fill="EDEDED"/>
          </w:tcPr>
          <w:p w14:paraId="4AA013A4" w14:textId="77777777" w:rsidR="004622CA" w:rsidRDefault="00D277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588" w:type="dxa"/>
            <w:shd w:val="clear" w:color="auto" w:fill="EDEDED"/>
          </w:tcPr>
          <w:p w14:paraId="7A1E55C3" w14:textId="77777777" w:rsidR="004622CA" w:rsidRDefault="00D277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4622CA" w14:paraId="64016F5E" w14:textId="77777777">
        <w:trPr>
          <w:trHeight w:val="360"/>
        </w:trPr>
        <w:tc>
          <w:tcPr>
            <w:tcW w:w="988" w:type="dxa"/>
          </w:tcPr>
          <w:p w14:paraId="6FC045EA" w14:textId="77777777" w:rsidR="004622CA" w:rsidRDefault="004622C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</w:tcPr>
          <w:p w14:paraId="3E471D6A" w14:textId="77777777" w:rsidR="004622CA" w:rsidRDefault="00D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установочном вебинаре о пилотной апробации элементов методики измерения показателей клиентоцентричности в СЗН</w:t>
            </w:r>
          </w:p>
        </w:tc>
        <w:tc>
          <w:tcPr>
            <w:tcW w:w="5100" w:type="dxa"/>
          </w:tcPr>
          <w:p w14:paraId="49404BA4" w14:textId="77777777" w:rsidR="004622CA" w:rsidRDefault="00D27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  <w:proofErr w:type="gramStart"/>
            <w:r>
              <w:rPr>
                <w:rFonts w:ascii="Times New Roman" w:hAnsi="Times New Roman" w:cs="Times New Roman"/>
              </w:rPr>
              <w:t>участие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установочном вебинаре о пилотной апробации элементов методики измерения показателей клиентоцентричности в СЗН</w:t>
            </w:r>
          </w:p>
        </w:tc>
        <w:tc>
          <w:tcPr>
            <w:tcW w:w="1933" w:type="dxa"/>
          </w:tcPr>
          <w:p w14:paraId="42A2AE24" w14:textId="77777777" w:rsidR="004622CA" w:rsidRDefault="00D277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01.04.2022</w:t>
            </w:r>
          </w:p>
        </w:tc>
        <w:tc>
          <w:tcPr>
            <w:tcW w:w="2588" w:type="dxa"/>
          </w:tcPr>
          <w:p w14:paraId="75FF7391" w14:textId="77777777" w:rsidR="004622CA" w:rsidRDefault="004622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22CA" w14:paraId="719742AD" w14:textId="77777777">
        <w:trPr>
          <w:trHeight w:val="360"/>
        </w:trPr>
        <w:tc>
          <w:tcPr>
            <w:tcW w:w="988" w:type="dxa"/>
          </w:tcPr>
          <w:p w14:paraId="261A665B" w14:textId="77777777" w:rsidR="004622CA" w:rsidRDefault="004622C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</w:tcPr>
          <w:p w14:paraId="5DD5788A" w14:textId="77777777" w:rsidR="004622CA" w:rsidRDefault="00D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пакета организационно-нормативных документов:</w:t>
            </w:r>
          </w:p>
          <w:p w14:paraId="617E2AE9" w14:textId="77777777" w:rsidR="004622CA" w:rsidRDefault="00D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приказ об участии в пилотной апробации;</w:t>
            </w:r>
          </w:p>
          <w:p w14:paraId="4041123F" w14:textId="77777777" w:rsidR="004622CA" w:rsidRDefault="00D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дорожная карта</w:t>
            </w:r>
          </w:p>
          <w:p w14:paraId="1B65E06B" w14:textId="77777777" w:rsidR="004622CA" w:rsidRDefault="00D2771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состав рабочей группы </w:t>
            </w:r>
          </w:p>
          <w:p w14:paraId="2E5F2112" w14:textId="77777777" w:rsidR="004622CA" w:rsidRDefault="004622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0" w:type="dxa"/>
          </w:tcPr>
          <w:p w14:paraId="12846BDC" w14:textId="77777777" w:rsidR="004622CA" w:rsidRDefault="00D27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Департамента труда и занятости населения Тюменской области от </w:t>
            </w:r>
            <w:proofErr w:type="gramStart"/>
            <w:r>
              <w:rPr>
                <w:rFonts w:ascii="Times New Roman" w:hAnsi="Times New Roman" w:cs="Times New Roman"/>
              </w:rPr>
              <w:t>08.04.2022  №</w:t>
            </w:r>
            <w:proofErr w:type="gramEnd"/>
            <w:r>
              <w:rPr>
                <w:rFonts w:ascii="Times New Roman" w:hAnsi="Times New Roman" w:cs="Times New Roman"/>
              </w:rPr>
              <w:t xml:space="preserve">  114 о проведении пилотной апробации и утверждении состава рабочей группы;  Дорожная карта, утвержденная директором Департамента тру</w:t>
            </w:r>
            <w:r>
              <w:rPr>
                <w:rFonts w:ascii="Times New Roman" w:hAnsi="Times New Roman" w:cs="Times New Roman"/>
              </w:rPr>
              <w:t>да и занятости населения Тюменской области</w:t>
            </w:r>
          </w:p>
        </w:tc>
        <w:tc>
          <w:tcPr>
            <w:tcW w:w="1933" w:type="dxa"/>
          </w:tcPr>
          <w:p w14:paraId="7D2A92DC" w14:textId="77777777" w:rsidR="004622CA" w:rsidRDefault="00D277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08.04.2022</w:t>
            </w:r>
          </w:p>
        </w:tc>
        <w:tc>
          <w:tcPr>
            <w:tcW w:w="2588" w:type="dxa"/>
          </w:tcPr>
          <w:p w14:paraId="65510E1C" w14:textId="77777777" w:rsidR="004622CA" w:rsidRDefault="004622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22CA" w14:paraId="4B629C7D" w14:textId="77777777">
        <w:trPr>
          <w:trHeight w:val="360"/>
        </w:trPr>
        <w:tc>
          <w:tcPr>
            <w:tcW w:w="988" w:type="dxa"/>
          </w:tcPr>
          <w:p w14:paraId="52E5E660" w14:textId="77777777" w:rsidR="004622CA" w:rsidRDefault="004622C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</w:tcPr>
          <w:p w14:paraId="58C3D0B5" w14:textId="77777777" w:rsidR="004622CA" w:rsidRDefault="00D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перечня показателей клиентоцентричности в работе СЗН, пилотируемых регионе. </w:t>
            </w:r>
          </w:p>
        </w:tc>
        <w:tc>
          <w:tcPr>
            <w:tcW w:w="5100" w:type="dxa"/>
          </w:tcPr>
          <w:p w14:paraId="6B2A95CE" w14:textId="77777777" w:rsidR="004622CA" w:rsidRDefault="00D27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показателей, пилотируемых в Тюменской области, согласован руководителем рабочей группы О.Н. Филипенко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  заместителем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директора ФЦК СЗ Е.А. Меркуловой</w:t>
            </w:r>
          </w:p>
        </w:tc>
        <w:tc>
          <w:tcPr>
            <w:tcW w:w="1933" w:type="dxa"/>
          </w:tcPr>
          <w:p w14:paraId="5BC1E8CF" w14:textId="77777777" w:rsidR="004622CA" w:rsidRDefault="00D277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13.04.2022</w:t>
            </w:r>
          </w:p>
        </w:tc>
        <w:tc>
          <w:tcPr>
            <w:tcW w:w="2588" w:type="dxa"/>
          </w:tcPr>
          <w:p w14:paraId="390D3979" w14:textId="77777777" w:rsidR="004622CA" w:rsidRDefault="004622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22CA" w14:paraId="5720A262" w14:textId="77777777">
        <w:trPr>
          <w:trHeight w:val="360"/>
        </w:trPr>
        <w:tc>
          <w:tcPr>
            <w:tcW w:w="988" w:type="dxa"/>
          </w:tcPr>
          <w:p w14:paraId="211A56D5" w14:textId="77777777" w:rsidR="004622CA" w:rsidRDefault="004622C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</w:tcPr>
          <w:p w14:paraId="0A81E0AE" w14:textId="77777777" w:rsidR="004622CA" w:rsidRDefault="00D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замеров показателей клиентоцентричности в работе СЗН по апробируемой методике</w:t>
            </w:r>
          </w:p>
        </w:tc>
        <w:tc>
          <w:tcPr>
            <w:tcW w:w="5100" w:type="dxa"/>
          </w:tcPr>
          <w:p w14:paraId="339528A3" w14:textId="77777777" w:rsidR="004622CA" w:rsidRDefault="00D27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Замеры показателей проведены, анкеты заполнены</w:t>
            </w:r>
          </w:p>
        </w:tc>
        <w:tc>
          <w:tcPr>
            <w:tcW w:w="1933" w:type="dxa"/>
          </w:tcPr>
          <w:p w14:paraId="7C44BC3E" w14:textId="77777777" w:rsidR="004622CA" w:rsidRDefault="00D277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30.04.2022</w:t>
            </w:r>
          </w:p>
        </w:tc>
        <w:tc>
          <w:tcPr>
            <w:tcW w:w="2588" w:type="dxa"/>
          </w:tcPr>
          <w:p w14:paraId="73F69E37" w14:textId="77777777" w:rsidR="004622CA" w:rsidRDefault="004622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22CA" w14:paraId="208EE9EE" w14:textId="77777777">
        <w:trPr>
          <w:trHeight w:val="360"/>
        </w:trPr>
        <w:tc>
          <w:tcPr>
            <w:tcW w:w="988" w:type="dxa"/>
          </w:tcPr>
          <w:p w14:paraId="1A0273ED" w14:textId="77777777" w:rsidR="004622CA" w:rsidRDefault="004622C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</w:tcPr>
          <w:p w14:paraId="6B261B45" w14:textId="77777777" w:rsidR="004622CA" w:rsidRDefault="00D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Обработка и анализ полученных </w:t>
            </w:r>
            <w:r>
              <w:rPr>
                <w:rFonts w:ascii="Times New Roman" w:hAnsi="Times New Roman" w:cs="Times New Roman"/>
              </w:rPr>
              <w:t>результатов замера показателей клиентоцентричности в работе СЗН</w:t>
            </w:r>
          </w:p>
        </w:tc>
        <w:tc>
          <w:tcPr>
            <w:tcW w:w="5100" w:type="dxa"/>
          </w:tcPr>
          <w:p w14:paraId="2FF10D8B" w14:textId="77777777" w:rsidR="004622CA" w:rsidRDefault="00D27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Осуществлено ФЦК СЗ</w:t>
            </w:r>
          </w:p>
        </w:tc>
        <w:tc>
          <w:tcPr>
            <w:tcW w:w="1933" w:type="dxa"/>
          </w:tcPr>
          <w:p w14:paraId="4DA1617D" w14:textId="77777777" w:rsidR="004622CA" w:rsidRDefault="00D277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13.05.2022</w:t>
            </w:r>
          </w:p>
        </w:tc>
        <w:tc>
          <w:tcPr>
            <w:tcW w:w="2588" w:type="dxa"/>
          </w:tcPr>
          <w:p w14:paraId="4325EA00" w14:textId="77777777" w:rsidR="004622CA" w:rsidRDefault="004622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22CA" w14:paraId="5A554D47" w14:textId="77777777">
        <w:trPr>
          <w:trHeight w:val="360"/>
        </w:trPr>
        <w:tc>
          <w:tcPr>
            <w:tcW w:w="988" w:type="dxa"/>
          </w:tcPr>
          <w:p w14:paraId="25B10077" w14:textId="77777777" w:rsidR="004622CA" w:rsidRDefault="004622C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</w:tcPr>
          <w:p w14:paraId="126BA721" w14:textId="77777777" w:rsidR="004622CA" w:rsidRDefault="00D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сдача отчета о результатах пилотной апробации элементов методики измерения показателей клиентоцентричности в работе СЗН</w:t>
            </w:r>
          </w:p>
        </w:tc>
        <w:tc>
          <w:tcPr>
            <w:tcW w:w="5100" w:type="dxa"/>
          </w:tcPr>
          <w:p w14:paraId="46F764EB" w14:textId="77777777" w:rsidR="004622CA" w:rsidRDefault="00D27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подготовлен</w:t>
            </w:r>
          </w:p>
        </w:tc>
        <w:tc>
          <w:tcPr>
            <w:tcW w:w="1933" w:type="dxa"/>
          </w:tcPr>
          <w:p w14:paraId="1BE77399" w14:textId="77777777" w:rsidR="004622CA" w:rsidRDefault="00D277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20.05.2</w:t>
            </w:r>
            <w:r>
              <w:rPr>
                <w:rFonts w:ascii="Times New Roman" w:hAnsi="Times New Roman" w:cs="Times New Roman"/>
                <w:b/>
                <w:bCs/>
              </w:rPr>
              <w:t>022</w:t>
            </w:r>
          </w:p>
        </w:tc>
        <w:tc>
          <w:tcPr>
            <w:tcW w:w="2588" w:type="dxa"/>
          </w:tcPr>
          <w:p w14:paraId="194A8176" w14:textId="77777777" w:rsidR="004622CA" w:rsidRDefault="004622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22CA" w14:paraId="376C3471" w14:textId="77777777">
        <w:trPr>
          <w:trHeight w:val="333"/>
        </w:trPr>
        <w:tc>
          <w:tcPr>
            <w:tcW w:w="988" w:type="dxa"/>
          </w:tcPr>
          <w:p w14:paraId="15828C97" w14:textId="77777777" w:rsidR="004622CA" w:rsidRDefault="004622C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</w:tcPr>
          <w:p w14:paraId="4C5830A1" w14:textId="77777777" w:rsidR="004622CA" w:rsidRDefault="00D2771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Участие в итоговом вебинаре о результатах пилотной апробации элементов методики измерения показателей клиентоцентричности в СЗН</w:t>
            </w:r>
          </w:p>
        </w:tc>
        <w:tc>
          <w:tcPr>
            <w:tcW w:w="5100" w:type="dxa"/>
          </w:tcPr>
          <w:p w14:paraId="6E4E7E08" w14:textId="77777777" w:rsidR="004622CA" w:rsidRDefault="00D27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</w:t>
            </w:r>
            <w:r>
              <w:rPr>
                <w:rFonts w:ascii="Times New Roman" w:hAnsi="Times New Roman" w:cs="Times New Roman"/>
              </w:rPr>
              <w:t xml:space="preserve"> участие в итоговом вебинаре о результатах пилотной апробации элементов методики измерения показателей клиентоцентричности в СЗН</w:t>
            </w:r>
          </w:p>
        </w:tc>
        <w:tc>
          <w:tcPr>
            <w:tcW w:w="1933" w:type="dxa"/>
          </w:tcPr>
          <w:p w14:paraId="5445E82D" w14:textId="77777777" w:rsidR="004622CA" w:rsidRDefault="00D277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Июнь 2022</w:t>
            </w:r>
          </w:p>
        </w:tc>
        <w:tc>
          <w:tcPr>
            <w:tcW w:w="2588" w:type="dxa"/>
          </w:tcPr>
          <w:p w14:paraId="18E8D626" w14:textId="77777777" w:rsidR="004622CA" w:rsidRDefault="004622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D249536" w14:textId="77777777" w:rsidR="004622CA" w:rsidRDefault="004622CA">
      <w:pPr>
        <w:spacing w:after="240"/>
        <w:jc w:val="center"/>
        <w:rPr>
          <w:rFonts w:ascii="Times New Roman" w:hAnsi="Times New Roman" w:cs="Times New Roman"/>
          <w:b/>
          <w:bCs/>
        </w:rPr>
      </w:pPr>
    </w:p>
    <w:p w14:paraId="0F7D215F" w14:textId="77777777" w:rsidR="004622CA" w:rsidRDefault="00D27711">
      <w:pPr>
        <w:keepNext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  <w:lang w:val="en-US"/>
        </w:rPr>
        <w:t> </w:t>
      </w:r>
      <w:r>
        <w:rPr>
          <w:rFonts w:ascii="Times New Roman" w:hAnsi="Times New Roman" w:cs="Times New Roman"/>
          <w:b/>
          <w:bCs/>
        </w:rPr>
        <w:t>Замечания/предложения/дополнения по итогам реализации пилотной апробации элементов методики измерения показател</w:t>
      </w:r>
      <w:r>
        <w:rPr>
          <w:rFonts w:ascii="Times New Roman" w:hAnsi="Times New Roman" w:cs="Times New Roman"/>
          <w:b/>
          <w:bCs/>
        </w:rPr>
        <w:t>ей клиентоцентричности</w:t>
      </w:r>
    </w:p>
    <w:p w14:paraId="4E75EA70" w14:textId="77777777" w:rsidR="004622CA" w:rsidRDefault="00D27711">
      <w:pPr>
        <w:spacing w:after="240"/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Список вопросов, примечаний и предложений по улучшению методики измерения показателей </w:t>
      </w:r>
      <w:proofErr w:type="spellStart"/>
      <w:r>
        <w:rPr>
          <w:rFonts w:ascii="Times New Roman" w:hAnsi="Times New Roman" w:cs="Times New Roman"/>
          <w:i/>
          <w:iCs/>
        </w:rPr>
        <w:t>клиентоцетричности</w:t>
      </w:r>
      <w:proofErr w:type="spellEnd"/>
      <w:r>
        <w:rPr>
          <w:rFonts w:ascii="Times New Roman" w:hAnsi="Times New Roman" w:cs="Times New Roman"/>
          <w:i/>
          <w:iCs/>
        </w:rPr>
        <w:t>, программы пилотной апробации</w:t>
      </w:r>
    </w:p>
    <w:p w14:paraId="1CAFBBFB" w14:textId="77777777" w:rsidR="004622CA" w:rsidRDefault="00D27711">
      <w:pPr>
        <w:spacing w:after="24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Комментарии к Опросникам по клиентоцентричности (Граждане/работодатели)</w:t>
      </w:r>
    </w:p>
    <w:p w14:paraId="1CCB583D" w14:textId="77777777" w:rsidR="004622CA" w:rsidRDefault="00D27711">
      <w:pPr>
        <w:pStyle w:val="a8"/>
        <w:ind w:left="0" w:firstLine="680"/>
        <w:jc w:val="both"/>
      </w:pPr>
      <w:r>
        <w:rPr>
          <w:rFonts w:ascii="Times New Roman" w:hAnsi="Times New Roman" w:cs="Arial"/>
        </w:rPr>
        <w:t>1. Вопрос № 8 анкеты для г</w:t>
      </w:r>
      <w:r>
        <w:rPr>
          <w:rFonts w:ascii="Times New Roman" w:hAnsi="Times New Roman" w:cs="Arial"/>
        </w:rPr>
        <w:t>раждан и работодателей «В какой мере Вы согласны со следующим утверждением: Мне было просто пройти все процедуры в ЦЗН (например, заполнить документы и проч.)» по сути отражает удобство использования Единой цифровой платформы «Работа в России», так как све</w:t>
      </w:r>
      <w:r>
        <w:rPr>
          <w:rFonts w:ascii="Times New Roman" w:hAnsi="Times New Roman" w:cs="Arial"/>
        </w:rPr>
        <w:t xml:space="preserve">дения о себе гражданин и работодатель представляет в настоящее время в электронной форме посредством данной информационной системы. При этом на качество работы платформы центры занятости оказать прямого влияния не могут. Предлагаем заменить этот </w:t>
      </w:r>
      <w:proofErr w:type="gramStart"/>
      <w:r>
        <w:rPr>
          <w:rFonts w:ascii="Times New Roman" w:hAnsi="Times New Roman" w:cs="Arial"/>
        </w:rPr>
        <w:t>вопрос  на</w:t>
      </w:r>
      <w:proofErr w:type="gramEnd"/>
      <w:r>
        <w:rPr>
          <w:rFonts w:ascii="Times New Roman" w:hAnsi="Times New Roman" w:cs="Arial"/>
        </w:rPr>
        <w:t xml:space="preserve"> другой, который будет отражать работу непосредственно центра занятости. Например, «При возникновении вопросов/затруднений специалистами центра занятости оказывалась необходимая консультативная помощь».</w:t>
      </w:r>
    </w:p>
    <w:p w14:paraId="4004DDA6" w14:textId="77777777" w:rsidR="004622CA" w:rsidRDefault="004622CA">
      <w:pPr>
        <w:pStyle w:val="a8"/>
        <w:ind w:left="0" w:firstLine="680"/>
        <w:jc w:val="both"/>
        <w:rPr>
          <w:rFonts w:ascii="Times New Roman" w:hAnsi="Times New Roman" w:cs="Arial"/>
        </w:rPr>
      </w:pPr>
    </w:p>
    <w:p w14:paraId="15B7F9B5" w14:textId="77777777" w:rsidR="004622CA" w:rsidRDefault="00D27711">
      <w:pPr>
        <w:pStyle w:val="a8"/>
        <w:ind w:left="0" w:firstLine="680"/>
        <w:jc w:val="both"/>
      </w:pPr>
      <w:r>
        <w:rPr>
          <w:rFonts w:ascii="Times New Roman" w:hAnsi="Times New Roman" w:cs="Arial"/>
        </w:rPr>
        <w:t xml:space="preserve">2. Вопрос № 12 «Приходилось ли Вам </w:t>
      </w:r>
      <w:r>
        <w:rPr>
          <w:rFonts w:ascii="Times New Roman" w:hAnsi="Times New Roman" w:cs="Arial"/>
        </w:rPr>
        <w:t>обращаться к руководству ЦЗН?» и № 13 «Пользовались ли Вы функцией предварительной записи?» анкеты для граждан логически предполагает ответ «Да» или «нет», в подсказках предлагает выбор от 1 до 10 (необходимо откорректировать);</w:t>
      </w:r>
    </w:p>
    <w:p w14:paraId="4DF34468" w14:textId="77777777" w:rsidR="004622CA" w:rsidRDefault="004622CA">
      <w:pPr>
        <w:pStyle w:val="a8"/>
        <w:ind w:left="0" w:firstLine="680"/>
        <w:jc w:val="both"/>
        <w:rPr>
          <w:rFonts w:ascii="Times New Roman" w:hAnsi="Times New Roman" w:cs="Arial"/>
        </w:rPr>
      </w:pPr>
    </w:p>
    <w:p w14:paraId="089437B4" w14:textId="77777777" w:rsidR="004622CA" w:rsidRDefault="00D27711">
      <w:pPr>
        <w:pStyle w:val="a8"/>
        <w:ind w:left="0" w:firstLine="680"/>
        <w:jc w:val="both"/>
      </w:pPr>
      <w:r>
        <w:rPr>
          <w:rFonts w:ascii="Times New Roman" w:hAnsi="Times New Roman" w:cs="Arial"/>
        </w:rPr>
        <w:lastRenderedPageBreak/>
        <w:t>3. Вопрос № 13 «Пользовалис</w:t>
      </w:r>
      <w:r>
        <w:rPr>
          <w:rFonts w:ascii="Times New Roman" w:hAnsi="Times New Roman" w:cs="Arial"/>
        </w:rPr>
        <w:t>ь ли Вы функцией предварительной записи?» предлагается заменить на другой более актуальный в настоящее время вопрос, т. к. в связи с внедрением Единой цифровой платформы «Работа в России» функция предварительной записи в центрах занятости более не востребо</w:t>
      </w:r>
      <w:r>
        <w:rPr>
          <w:rFonts w:ascii="Times New Roman" w:hAnsi="Times New Roman" w:cs="Arial"/>
        </w:rPr>
        <w:t xml:space="preserve">вана ввиду того, что гражданин подает заявление в электронной форме в любое удобное для него время. </w:t>
      </w:r>
      <w:r>
        <w:rPr>
          <w:rFonts w:ascii="Times New Roman" w:hAnsi="Times New Roman" w:cs="Arial"/>
        </w:rPr>
        <w:t>Далее</w:t>
      </w:r>
      <w:r>
        <w:rPr>
          <w:rFonts w:ascii="Times New Roman" w:hAnsi="Times New Roman" w:cs="Arial"/>
        </w:rPr>
        <w:t xml:space="preserve"> в личном кабинете он получает информацию о дате и времени личного посещения.</w:t>
      </w:r>
    </w:p>
    <w:p w14:paraId="3929B9C6" w14:textId="77777777" w:rsidR="004622CA" w:rsidRDefault="004622CA">
      <w:pPr>
        <w:pStyle w:val="a8"/>
        <w:ind w:left="0" w:firstLine="680"/>
        <w:jc w:val="both"/>
        <w:rPr>
          <w:rFonts w:cs="Arial"/>
        </w:rPr>
      </w:pPr>
    </w:p>
    <w:p w14:paraId="10C8C26A" w14:textId="77777777" w:rsidR="004622CA" w:rsidRDefault="00D27711">
      <w:pPr>
        <w:pStyle w:val="a8"/>
        <w:ind w:left="0" w:firstLine="680"/>
        <w:jc w:val="both"/>
      </w:pPr>
      <w:r>
        <w:rPr>
          <w:rFonts w:ascii="Times New Roman" w:hAnsi="Times New Roman" w:cs="Arial"/>
        </w:rPr>
        <w:t xml:space="preserve">4. Исходя из предложений граждан, проходивших опрос на гостевых </w:t>
      </w:r>
      <w:r>
        <w:rPr>
          <w:rFonts w:ascii="Times New Roman" w:hAnsi="Times New Roman" w:cs="Arial"/>
        </w:rPr>
        <w:t>компьютерах в Кадровом центре, предлагаем шкалу оценки от 1 до 10 изменить на от 1 до 5 по привычной 5-балльной системе, где 1-неудовлетворительно, 3-удовлетворительно, 4- хорошо, 5 – отлично.</w:t>
      </w:r>
    </w:p>
    <w:p w14:paraId="00D71C0D" w14:textId="77777777" w:rsidR="004622CA" w:rsidRDefault="004622CA">
      <w:pPr>
        <w:pStyle w:val="a8"/>
        <w:ind w:left="0" w:firstLine="680"/>
        <w:jc w:val="both"/>
      </w:pPr>
    </w:p>
    <w:p w14:paraId="575BD365" w14:textId="77777777" w:rsidR="004622CA" w:rsidRDefault="00D27711">
      <w:pPr>
        <w:pStyle w:val="a8"/>
        <w:ind w:left="0" w:firstLine="737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5. Заполнение </w:t>
      </w:r>
      <w:r>
        <w:rPr>
          <w:rFonts w:ascii="Times New Roman" w:hAnsi="Times New Roman" w:cs="Arial"/>
        </w:rPr>
        <w:t xml:space="preserve">анкеты технически возможно </w:t>
      </w:r>
      <w:r>
        <w:rPr>
          <w:rFonts w:ascii="Times New Roman" w:hAnsi="Times New Roman" w:cs="Arial"/>
        </w:rPr>
        <w:t>только с ПК. При запо</w:t>
      </w:r>
      <w:r>
        <w:rPr>
          <w:rFonts w:ascii="Times New Roman" w:hAnsi="Times New Roman" w:cs="Arial"/>
        </w:rPr>
        <w:t>лнении опросника в телефоне искажается формулировка вопросов</w:t>
      </w:r>
      <w:r>
        <w:rPr>
          <w:rFonts w:ascii="Times New Roman" w:hAnsi="Times New Roman" w:cs="Arial"/>
          <w:i/>
          <w:lang w:eastAsia="ru-RU"/>
        </w:rPr>
        <w:t xml:space="preserve"> (пример) </w:t>
      </w:r>
      <w:r>
        <w:rPr>
          <w:noProof/>
        </w:rPr>
        <w:drawing>
          <wp:inline distT="0" distB="0" distL="0" distR="0" wp14:anchorId="257CF2FD" wp14:editId="45829014">
            <wp:extent cx="1833245" cy="3971925"/>
            <wp:effectExtent l="0" t="0" r="0" b="0"/>
            <wp:docPr id="1" name="Рисунок 1" descr="C:\Users\User\Downloads\Telegram Desktop\photo_2022-04-29_15-35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ownloads\Telegram Desktop\photo_2022-04-29_15-35-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9BE21" w14:textId="77777777" w:rsidR="004622CA" w:rsidRDefault="004622CA">
      <w:pPr>
        <w:pStyle w:val="a8"/>
        <w:ind w:left="0" w:firstLine="680"/>
        <w:jc w:val="both"/>
        <w:rPr>
          <w:rFonts w:ascii="Times New Roman" w:hAnsi="Times New Roman"/>
        </w:rPr>
      </w:pPr>
    </w:p>
    <w:p w14:paraId="6E8FE7A1" w14:textId="77777777" w:rsidR="004622CA" w:rsidRDefault="00D27711">
      <w:pPr>
        <w:pStyle w:val="a8"/>
        <w:ind w:left="0" w:firstLine="680"/>
        <w:jc w:val="both"/>
      </w:pPr>
      <w:r>
        <w:rPr>
          <w:rFonts w:ascii="Times New Roman" w:hAnsi="Times New Roman" w:cs="Arial"/>
          <w:lang w:eastAsia="ru-RU"/>
        </w:rPr>
        <w:lastRenderedPageBreak/>
        <w:t xml:space="preserve">6. При сборе данных по заполненным анкетам в Личном кабинете ЦЗН не </w:t>
      </w:r>
      <w:r>
        <w:rPr>
          <w:rFonts w:ascii="Times New Roman" w:hAnsi="Times New Roman" w:cs="Arial"/>
          <w:lang w:eastAsia="ru-RU"/>
        </w:rPr>
        <w:t xml:space="preserve">отображается </w:t>
      </w:r>
      <w:r>
        <w:rPr>
          <w:rFonts w:ascii="Times New Roman" w:hAnsi="Times New Roman" w:cs="Arial"/>
          <w:lang w:eastAsia="ru-RU"/>
        </w:rPr>
        <w:t xml:space="preserve">количество анкет, отсутствует дифференциация по признаку «работодатель/гражданин». Для подсчета анкет </w:t>
      </w:r>
      <w:r>
        <w:rPr>
          <w:rFonts w:ascii="Times New Roman" w:hAnsi="Times New Roman" w:cs="Arial"/>
          <w:lang w:eastAsia="ru-RU"/>
        </w:rPr>
        <w:t xml:space="preserve">приходиться </w:t>
      </w:r>
      <w:proofErr w:type="gramStart"/>
      <w:r>
        <w:rPr>
          <w:rFonts w:ascii="Times New Roman" w:hAnsi="Times New Roman" w:cs="Arial"/>
          <w:lang w:eastAsia="ru-RU"/>
        </w:rPr>
        <w:t>открывать  каждую</w:t>
      </w:r>
      <w:proofErr w:type="gramEnd"/>
      <w:r>
        <w:rPr>
          <w:rFonts w:ascii="Times New Roman" w:hAnsi="Times New Roman" w:cs="Arial"/>
          <w:lang w:eastAsia="ru-RU"/>
        </w:rPr>
        <w:t xml:space="preserve"> анкету (неудобно, затрачивается много лишнего времени).</w:t>
      </w:r>
    </w:p>
    <w:p w14:paraId="21B5FE35" w14:textId="77777777" w:rsidR="004622CA" w:rsidRDefault="00D27711">
      <w:pPr>
        <w:pStyle w:val="a8"/>
        <w:ind w:left="0" w:firstLine="680"/>
        <w:jc w:val="both"/>
      </w:pPr>
      <w:proofErr w:type="gramStart"/>
      <w:r>
        <w:rPr>
          <w:rFonts w:ascii="Times New Roman" w:hAnsi="Times New Roman" w:cs="Arial"/>
          <w:lang w:eastAsia="ru-RU"/>
        </w:rPr>
        <w:t>Вновь  заполненные</w:t>
      </w:r>
      <w:proofErr w:type="gramEnd"/>
      <w:r>
        <w:rPr>
          <w:rFonts w:ascii="Times New Roman" w:hAnsi="Times New Roman" w:cs="Arial"/>
          <w:lang w:eastAsia="ru-RU"/>
        </w:rPr>
        <w:t xml:space="preserve"> анкеты загружаются не по порядку, а </w:t>
      </w:r>
      <w:r>
        <w:rPr>
          <w:rFonts w:ascii="Times New Roman" w:hAnsi="Times New Roman" w:cs="Arial"/>
          <w:lang w:eastAsia="ru-RU"/>
        </w:rPr>
        <w:t>в хаотичном порядке</w:t>
      </w:r>
      <w:r>
        <w:rPr>
          <w:rFonts w:ascii="Times New Roman" w:hAnsi="Times New Roman" w:cs="Arial"/>
          <w:lang w:eastAsia="ru-RU"/>
        </w:rPr>
        <w:t xml:space="preserve"> с ранее заполненными анкетами и требует  повторной проверки каждой анкеты.</w:t>
      </w:r>
    </w:p>
    <w:p w14:paraId="5DE5EE53" w14:textId="77777777" w:rsidR="004622CA" w:rsidRDefault="004622CA">
      <w:pPr>
        <w:pStyle w:val="a8"/>
        <w:jc w:val="both"/>
        <w:rPr>
          <w:rFonts w:ascii="Times New Roman" w:hAnsi="Times New Roman" w:cs="Arial"/>
        </w:rPr>
      </w:pPr>
    </w:p>
    <w:p w14:paraId="58F4D366" w14:textId="77777777" w:rsidR="004622CA" w:rsidRDefault="00D27711">
      <w:pPr>
        <w:pStyle w:val="a8"/>
        <w:jc w:val="both"/>
      </w:pPr>
      <w:r>
        <w:rPr>
          <w:rFonts w:ascii="Times New Roman" w:hAnsi="Times New Roman" w:cs="Arial"/>
        </w:rPr>
        <w:t xml:space="preserve">Комментарий </w:t>
      </w:r>
      <w:proofErr w:type="gramStart"/>
      <w:r>
        <w:rPr>
          <w:rFonts w:ascii="Times New Roman" w:hAnsi="Times New Roman" w:cs="Arial"/>
        </w:rPr>
        <w:t>к  Опро</w:t>
      </w:r>
      <w:r>
        <w:rPr>
          <w:rFonts w:ascii="Times New Roman" w:hAnsi="Times New Roman" w:cs="Arial"/>
        </w:rPr>
        <w:t>снику</w:t>
      </w:r>
      <w:proofErr w:type="gramEnd"/>
      <w:r>
        <w:rPr>
          <w:rFonts w:ascii="Times New Roman" w:hAnsi="Times New Roman" w:cs="Arial"/>
        </w:rPr>
        <w:t xml:space="preserve"> «Оценка объективных данных, влияющих на впечатление граждан от взаимодействия с ЦЗН»:</w:t>
      </w:r>
    </w:p>
    <w:p w14:paraId="435EC373" w14:textId="77777777" w:rsidR="004622CA" w:rsidRDefault="00D27711">
      <w:pPr>
        <w:pStyle w:val="a8"/>
        <w:numPr>
          <w:ilvl w:val="0"/>
          <w:numId w:val="2"/>
        </w:numPr>
        <w:spacing w:after="24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При переходе на ШАГ 2 не удалось вернуться на ШАГ 1 для внесения дополнений по Контакт-центру.</w:t>
      </w:r>
    </w:p>
    <w:sectPr w:rsidR="004622CA">
      <w:pgSz w:w="16817" w:h="11906" w:orient="landscape"/>
      <w:pgMar w:top="851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705A"/>
    <w:multiLevelType w:val="multilevel"/>
    <w:tmpl w:val="D5E66E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35552E"/>
    <w:multiLevelType w:val="multilevel"/>
    <w:tmpl w:val="FCD412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CE4721A"/>
    <w:multiLevelType w:val="multilevel"/>
    <w:tmpl w:val="564287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26454957">
    <w:abstractNumId w:val="2"/>
  </w:num>
  <w:num w:numId="2" w16cid:durableId="1921403263">
    <w:abstractNumId w:val="0"/>
  </w:num>
  <w:num w:numId="3" w16cid:durableId="34283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CA"/>
    <w:rsid w:val="004622CA"/>
    <w:rsid w:val="00D2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EBEC"/>
  <w15:docId w15:val="{C7E903E1-DF5F-480A-B938-11FBF00F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21E"/>
    <w:rPr>
      <w:sz w:val="24"/>
    </w:rPr>
  </w:style>
  <w:style w:type="paragraph" w:styleId="1">
    <w:name w:val="heading 1"/>
    <w:basedOn w:val="a"/>
    <w:qFormat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4E121E"/>
    <w:pPr>
      <w:ind w:left="720"/>
      <w:contextualSpacing/>
    </w:pPr>
  </w:style>
  <w:style w:type="table" w:styleId="a9">
    <w:name w:val="Table Grid"/>
    <w:basedOn w:val="a1"/>
    <w:uiPriority w:val="39"/>
    <w:rsid w:val="004E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dc:description/>
  <cp:lastModifiedBy>Яна Николаевна Мизунова</cp:lastModifiedBy>
  <cp:revision>2</cp:revision>
  <dcterms:created xsi:type="dcterms:W3CDTF">2022-05-30T13:06:00Z</dcterms:created>
  <dcterms:modified xsi:type="dcterms:W3CDTF">2022-05-30T13:06:00Z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