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7B" w:rsidRDefault="00AF597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F597B" w:rsidRDefault="00AF597B">
      <w:pPr>
        <w:pStyle w:val="ConsPlusNormal"/>
        <w:jc w:val="both"/>
        <w:outlineLvl w:val="0"/>
      </w:pPr>
    </w:p>
    <w:p w:rsidR="00AF597B" w:rsidRDefault="00AF597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AF597B" w:rsidRDefault="00AF597B">
      <w:pPr>
        <w:pStyle w:val="ConsPlusTitle"/>
        <w:jc w:val="center"/>
      </w:pPr>
    </w:p>
    <w:p w:rsidR="00AF597B" w:rsidRDefault="00AF597B">
      <w:pPr>
        <w:pStyle w:val="ConsPlusTitle"/>
        <w:jc w:val="center"/>
      </w:pPr>
      <w:r>
        <w:t>ПРИКАЗ</w:t>
      </w:r>
    </w:p>
    <w:p w:rsidR="00AF597B" w:rsidRDefault="00AF597B">
      <w:pPr>
        <w:pStyle w:val="ConsPlusTitle"/>
        <w:jc w:val="center"/>
      </w:pPr>
      <w:r>
        <w:t>от 18 марта 2022 г. N 143</w:t>
      </w:r>
    </w:p>
    <w:p w:rsidR="00AF597B" w:rsidRDefault="00AF597B">
      <w:pPr>
        <w:pStyle w:val="ConsPlusTitle"/>
        <w:jc w:val="center"/>
      </w:pPr>
    </w:p>
    <w:p w:rsidR="00AF597B" w:rsidRDefault="00AF597B">
      <w:pPr>
        <w:pStyle w:val="ConsPlusTitle"/>
        <w:jc w:val="center"/>
      </w:pPr>
      <w:r>
        <w:t>О ВНЕСЕНИИ ИЗМЕНЕНИЙ</w:t>
      </w:r>
    </w:p>
    <w:p w:rsidR="00AF597B" w:rsidRDefault="00AF597B">
      <w:pPr>
        <w:pStyle w:val="ConsPlusTitle"/>
        <w:jc w:val="center"/>
      </w:pPr>
      <w:r>
        <w:t>В ПРИКАЗ МИНИСТЕРСТВА ТРУДА И СОЦИАЛЬНОЙ ЗАЩИТЫ РОССИЙСКОЙ</w:t>
      </w:r>
    </w:p>
    <w:p w:rsidR="00AF597B" w:rsidRDefault="00AF597B">
      <w:pPr>
        <w:pStyle w:val="ConsPlusTitle"/>
        <w:jc w:val="center"/>
      </w:pPr>
      <w:r>
        <w:t>ФЕДЕРАЦИИ ОТ 29 АПРЕЛЯ 2019 Г. N 302 "ОБ УТВЕРЖДЕНИИ ЕДИНЫХ</w:t>
      </w:r>
    </w:p>
    <w:p w:rsidR="00AF597B" w:rsidRDefault="00AF597B">
      <w:pPr>
        <w:pStyle w:val="ConsPlusTitle"/>
        <w:jc w:val="center"/>
      </w:pPr>
      <w:r>
        <w:t>ТРЕБОВАНИЙ К ОРГАНИЗАЦИИ ДЕЯТЕЛЬНОСТИ ОРГАНОВ</w:t>
      </w:r>
    </w:p>
    <w:p w:rsidR="00AF597B" w:rsidRDefault="00AF597B">
      <w:pPr>
        <w:pStyle w:val="ConsPlusTitle"/>
        <w:jc w:val="center"/>
      </w:pPr>
      <w:r>
        <w:t>СЛУЖБЫ ЗАНЯТОСТИ"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ind w:firstLine="540"/>
        <w:jc w:val="both"/>
      </w:pPr>
      <w:r>
        <w:t>Приказываю: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Внести изменения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апреля 2019 г. N 302 "Об утверждении Единых требований к организации деятельности органов службы занятости" с изменениями, внесенными приказами Министерства труда и социальной защиты Российской Федерации от 27 июня 2019 г. N 448, от 16 марта 2020 г. N 129, от 15 марта 2021 г. N 122 и от 6 июля 2021 г. N 453, согласно </w:t>
      </w:r>
      <w:hyperlink w:anchor="P28">
        <w:r>
          <w:rPr>
            <w:color w:val="0000FF"/>
          </w:rPr>
          <w:t>приложению</w:t>
        </w:r>
      </w:hyperlink>
      <w:r>
        <w:t>.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right"/>
      </w:pPr>
      <w:r>
        <w:t>Министр</w:t>
      </w:r>
    </w:p>
    <w:p w:rsidR="00AF597B" w:rsidRDefault="00AF597B">
      <w:pPr>
        <w:pStyle w:val="ConsPlusNormal"/>
        <w:jc w:val="right"/>
      </w:pPr>
      <w:r>
        <w:t>А.КОТЯКОВ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right"/>
        <w:outlineLvl w:val="0"/>
      </w:pPr>
      <w:r>
        <w:t>Приложение</w:t>
      </w:r>
    </w:p>
    <w:p w:rsidR="00AF597B" w:rsidRDefault="00AF597B">
      <w:pPr>
        <w:pStyle w:val="ConsPlusNormal"/>
        <w:jc w:val="right"/>
      </w:pPr>
      <w:r>
        <w:t>к приказу Министерства труда</w:t>
      </w:r>
    </w:p>
    <w:p w:rsidR="00AF597B" w:rsidRDefault="00AF597B">
      <w:pPr>
        <w:pStyle w:val="ConsPlusNormal"/>
        <w:jc w:val="right"/>
      </w:pPr>
      <w:r>
        <w:t>и социальной защиты</w:t>
      </w:r>
    </w:p>
    <w:p w:rsidR="00AF597B" w:rsidRDefault="00AF597B">
      <w:pPr>
        <w:pStyle w:val="ConsPlusNormal"/>
        <w:jc w:val="right"/>
      </w:pPr>
      <w:r>
        <w:t>Российской Федерации</w:t>
      </w:r>
    </w:p>
    <w:p w:rsidR="00AF597B" w:rsidRDefault="00AF597B">
      <w:pPr>
        <w:pStyle w:val="ConsPlusNormal"/>
        <w:jc w:val="right"/>
      </w:pPr>
      <w:r>
        <w:t>от 18 марта 2022 г. N 143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Title"/>
        <w:jc w:val="center"/>
      </w:pPr>
      <w:bookmarkStart w:id="0" w:name="P28"/>
      <w:bookmarkEnd w:id="0"/>
      <w:r>
        <w:t>ИЗМЕНЕНИЯ,</w:t>
      </w:r>
    </w:p>
    <w:p w:rsidR="00AF597B" w:rsidRDefault="00AF597B">
      <w:pPr>
        <w:pStyle w:val="ConsPlusTitle"/>
        <w:jc w:val="center"/>
      </w:pPr>
      <w:r>
        <w:t>КОТОРЫЕ ВНОСЯТСЯ В ПРИКАЗ МИНИСТЕРСТВА ТРУДА И СОЦИАЛЬНОЙ</w:t>
      </w:r>
    </w:p>
    <w:p w:rsidR="00AF597B" w:rsidRDefault="00AF597B">
      <w:pPr>
        <w:pStyle w:val="ConsPlusTitle"/>
        <w:jc w:val="center"/>
      </w:pPr>
      <w:r>
        <w:t>ЗАЩИТЫ РОССИЙСКОЙ ФЕДЕРАЦИИ ОТ 29 АПРЕЛЯ 2019 Г. N 302</w:t>
      </w:r>
    </w:p>
    <w:p w:rsidR="00AF597B" w:rsidRDefault="00AF597B">
      <w:pPr>
        <w:pStyle w:val="ConsPlusTitle"/>
        <w:jc w:val="center"/>
      </w:pPr>
      <w:r>
        <w:t>"ОБ УТВЕРЖДЕНИИ ЕДИНЫХ ТРЕБОВАНИЙ К ОРГАНИЗАЦИИ</w:t>
      </w:r>
    </w:p>
    <w:p w:rsidR="00AF597B" w:rsidRDefault="00AF597B">
      <w:pPr>
        <w:pStyle w:val="ConsPlusTitle"/>
        <w:jc w:val="center"/>
      </w:pPr>
      <w:r>
        <w:t>ДЕЯТЕЛЬНОСТИ ОРГАНОВ СЛУЖБЫ ЗАНЯТОСТИ"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абзаце 3 пункта 4</w:t>
        </w:r>
      </w:hyperlink>
      <w:r>
        <w:t xml:space="preserve"> приказа слово "центра" заменить словом "центров".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2. В </w:t>
      </w:r>
      <w:hyperlink r:id="rId8">
        <w:r>
          <w:rPr>
            <w:color w:val="0000FF"/>
          </w:rPr>
          <w:t>приложении</w:t>
        </w:r>
      </w:hyperlink>
      <w:r>
        <w:t xml:space="preserve"> к приказу: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пункт 1</w:t>
        </w:r>
      </w:hyperlink>
      <w:r>
        <w:t xml:space="preserve"> после слов "органов службы занятости" дополнить сноской &lt;1&gt; следующего содержания "&lt;1&gt; Далее - Единые требования." и после слова "модернизации" сноской &lt;2&gt; следующего содержания "&lt;2&gt; Далее - центры занятости населения.";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б) исключить по </w:t>
      </w:r>
      <w:hyperlink r:id="rId10">
        <w:r>
          <w:rPr>
            <w:color w:val="0000FF"/>
          </w:rPr>
          <w:t>тексту</w:t>
        </w:r>
      </w:hyperlink>
      <w:r>
        <w:t xml:space="preserve"> слова ", в которых реализуются проекты по модернизации";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в) в </w:t>
      </w:r>
      <w:hyperlink r:id="rId11">
        <w:r>
          <w:rPr>
            <w:color w:val="0000FF"/>
          </w:rPr>
          <w:t>подпункте "г" пункта 3</w:t>
        </w:r>
      </w:hyperlink>
      <w:r>
        <w:t xml:space="preserve"> сноску &lt;2&gt; считать сноской &lt;3&gt;, изложив ее в следующем виде "&lt;3&gt; Далее - государственные услуги.";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г) </w:t>
      </w:r>
      <w:hyperlink r:id="rId12">
        <w:r>
          <w:rPr>
            <w:color w:val="0000FF"/>
          </w:rPr>
          <w:t>подпункт "б" пункта 4</w:t>
        </w:r>
      </w:hyperlink>
      <w:r>
        <w:t xml:space="preserve"> дополнить абзацем следующего содержания: "выявление и изучение потребностей граждан и работодателей с учетом обратной связи, реинжиринг существующих услуг и сервисов по итогам обратной связи";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д) </w:t>
      </w:r>
      <w:hyperlink r:id="rId13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"5. Ежегодно, начиная с 2020 года, в целях поэтапной отработки организационных подходов для создания практически применимых результатов повышения эффективности деятельности центров занятости населения и поэтапного внедрения новой модели их деятельности Единые требования дополняются рекомендуемыми направлениями мероприятий планов перспективного </w:t>
      </w:r>
      <w:r>
        <w:lastRenderedPageBreak/>
        <w:t>развития центров занятости населения на текущий год.";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е) исключить из </w:t>
      </w:r>
      <w:hyperlink r:id="rId14">
        <w:r>
          <w:rPr>
            <w:color w:val="0000FF"/>
          </w:rPr>
          <w:t>подпункта "и" пункта 6</w:t>
        </w:r>
      </w:hyperlink>
      <w:r>
        <w:t xml:space="preserve"> слова "(центр занятости населения," и </w:t>
      </w:r>
      <w:hyperlink r:id="rId15">
        <w:r>
          <w:rPr>
            <w:color w:val="0000FF"/>
          </w:rPr>
          <w:t>сноску &lt;3&gt;</w:t>
        </w:r>
      </w:hyperlink>
      <w:r>
        <w:t xml:space="preserve"> к данному подпункту;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ж) в </w:t>
      </w:r>
      <w:hyperlink r:id="rId16">
        <w:r>
          <w:rPr>
            <w:color w:val="0000FF"/>
          </w:rPr>
          <w:t>подпункте "е" пункта 15</w:t>
        </w:r>
      </w:hyperlink>
      <w:r>
        <w:t xml:space="preserve"> слова "информационно-аналитической системе общероссийская база вакансий" заменить словами "Единой цифровой платформе в сфере занятости и трудовых отношений" и изложить </w:t>
      </w:r>
      <w:hyperlink r:id="rId17">
        <w:r>
          <w:rPr>
            <w:color w:val="0000FF"/>
          </w:rPr>
          <w:t>сноску &lt;7&gt;</w:t>
        </w:r>
      </w:hyperlink>
      <w:r>
        <w:t xml:space="preserve"> в следующей редакции: "&lt;7&gt; Далее - единая цифровая платформа";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з) слова "общероссийская база вакансий "Работа в России" в соответствующем падеже заменить по </w:t>
      </w:r>
      <w:hyperlink r:id="rId18">
        <w:r>
          <w:rPr>
            <w:color w:val="0000FF"/>
          </w:rPr>
          <w:t>тексту</w:t>
        </w:r>
      </w:hyperlink>
      <w:r>
        <w:t xml:space="preserve"> словами "единая цифровая платформа" в соответствующем падеже;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и) исключить из </w:t>
      </w:r>
      <w:hyperlink r:id="rId19">
        <w:r>
          <w:rPr>
            <w:color w:val="0000FF"/>
          </w:rPr>
          <w:t>подпункта "т" пункта 24</w:t>
        </w:r>
      </w:hyperlink>
      <w:r>
        <w:t xml:space="preserve"> слова "занятости населения";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к) </w:t>
      </w:r>
      <w:hyperlink r:id="rId20">
        <w:r>
          <w:rPr>
            <w:color w:val="0000FF"/>
          </w:rPr>
          <w:t>подпункт "в" пункта 26</w:t>
        </w:r>
      </w:hyperlink>
      <w:r>
        <w:t xml:space="preserve"> изложить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"в) перерывы в течение рабочего дня для работников центра занятости населения устанавливаются руководителем (уполномоченным лицом) центра занятости населения в соответствии с требованиями трудового законодательства (центр занятости населения осуществляет прием граждан и работодателей без перерыва в течение рабочего дня при численности рабочей силы свыше 300 тыс. человек).";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л) изложить </w:t>
      </w:r>
      <w:hyperlink r:id="rId21">
        <w:r>
          <w:rPr>
            <w:color w:val="0000FF"/>
          </w:rPr>
          <w:t>абзац 1 пункта 27</w:t>
        </w:r>
      </w:hyperlink>
      <w:r>
        <w:t xml:space="preserve">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"Требования к стилю оформления центра занятости населения: оформление помещений, вывесок, транспортных средств, предназначенных для выездного обслуживания заявителей, форменной одежды сотрудников, деловой документации, рекламной, полиграфической и сувенирной продукции, презентационных материалов, электронного табло очереди, интернет-сайта, мобильного приложения и интернет-баннера с использованием единого фирменного стиля "Работа России" (бренд-бук оформления центра занятости населения, в котором реализуются проекты по модернизации, приведен в приложении N 3 к Единым требованиям).".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м) изложить </w:t>
      </w:r>
      <w:hyperlink r:id="rId22">
        <w:r>
          <w:rPr>
            <w:color w:val="0000FF"/>
          </w:rPr>
          <w:t>подпункт "б" пункта 27</w:t>
        </w:r>
      </w:hyperlink>
      <w:r>
        <w:t xml:space="preserve">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"б) обеспечение возможности направления гражданами и работодателями запроса о предоставлении государственных услуг: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в электронной форме, в том числе с использованием единой цифровой платформы путем автоматизированного формирования и передачи текстовых сообщений на адрес электронной почты, Единого портала или регионального портала;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при личном обращении в центр занятости населения.";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н) изложить </w:t>
      </w:r>
      <w:hyperlink r:id="rId23">
        <w:r>
          <w:rPr>
            <w:color w:val="0000FF"/>
          </w:rPr>
          <w:t>подпункт "д" пункта 27</w:t>
        </w:r>
      </w:hyperlink>
      <w:r>
        <w:t xml:space="preserve"> в следующей редакции: "гражданин вправе обратиться в центр занятости населения или в МФЦ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вопросам, связанным с получением государственной услуги по содействию в поиске подходящей работы";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о) изложить </w:t>
      </w:r>
      <w:hyperlink r:id="rId24">
        <w:r>
          <w:rPr>
            <w:color w:val="0000FF"/>
          </w:rPr>
          <w:t>подпункты "а"</w:t>
        </w:r>
      </w:hyperlink>
      <w:r>
        <w:t xml:space="preserve">, </w:t>
      </w:r>
      <w:hyperlink r:id="rId25">
        <w:r>
          <w:rPr>
            <w:color w:val="0000FF"/>
          </w:rPr>
          <w:t>"б" пункта 28</w:t>
        </w:r>
      </w:hyperlink>
      <w:r>
        <w:t xml:space="preserve">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"а) по телефону (с использованием контакт-центра);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б) при личном обращении;";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п) </w:t>
      </w:r>
      <w:hyperlink r:id="rId26">
        <w:r>
          <w:rPr>
            <w:color w:val="0000FF"/>
          </w:rPr>
          <w:t>абзац 2 пункта 31</w:t>
        </w:r>
      </w:hyperlink>
      <w:r>
        <w:t xml:space="preserve"> изложить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"Работники центра занятости населения с согласия гражданина или работодателя, организовывают СМС-информирование о времени очередного визита в центр занятости населения, появлении подходящей работы, проведении мероприятий и др.";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р) изложить </w:t>
      </w:r>
      <w:hyperlink r:id="rId27">
        <w:r>
          <w:rPr>
            <w:color w:val="0000FF"/>
          </w:rPr>
          <w:t>пункт 40</w:t>
        </w:r>
      </w:hyperlink>
      <w:r>
        <w:t xml:space="preserve">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"40. Рекомендуемые направления программ профессиональной переподготовки и </w:t>
      </w:r>
      <w:r>
        <w:lastRenderedPageBreak/>
        <w:t>повышения квалификации: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а) современные требования в рамках новой модели деятельности центров занятости населения: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нормативно-правовое регулирование деятельности органов службы занятости;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реализация принципов проактивности, клиентоориентации и профессионализма в деятельности центра занятости населения, клиентоцентричность как методология трансформации системы занятости;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лучшие практики органов службы занятости субъектов Российской Федерации, опыт реформирования служб труда и занятости в мире; управление клиентским опытом заказчиков и партнеров, работающих на рынке труда, технологии повышения производительности труда ("бережливое производство");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маркетинг существующих государственных услуг и формирование предложений по их расширению в части решения проблем граждан, организаций, отраслей и регионов;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современный рынок труда: основные тенденции развития;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анализ ситуации на региональных и общероссийском рынках труда, количественной и качественной потребности в кадрах, в том числе перспективной;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проблемы обеспечения предприятий высококвалифицированными кадрами;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современные модели и инструменты профориентационной деятельности;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компетенции как основа профессиональной деятельности;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инструменты и методы оценки компетенций, технология ассессмент-центра;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формирование позитивного имиджа службы занятости, расширение комплекса оказываемых услуг;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пути повышения эффективности деятельности центра занятости населения, принципы "бережливого производства";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эмоциональная компетентность профессии, профилактика эмоционального "выгорания" работников центра занятости населения;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новые инструменты оказания услуг в соответствии с целевыми модельными полномочиями;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особенности оказания услуг социально незащищенным слоям населения и лицам с ограниченными возможностями здоровья;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б) формирование эффективной системы взаимодействия с гражданами: основы консультирования, проектирование и формирование индивидуальной траектории карьеры, эффективные приемы делового общения с гражданами на разных этапах сопровождения: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навыки разъяснения политики занятости населения, работа с индивидуальными планами самостоятельного поиска работы;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особенности работы с гражданами, испытывающими трудности в поиске работы и имеющими ограниченные возможности здоровья;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основы психологического консультирования, управление конфликтами, работа с трудными клиентами;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навыки работы с возражениями, эффективные методы убеждающего воздействия;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основы психологической поддержки и психологического консультирования безработных граждан;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расширение целевой аудитории, основы первичного и углубленного профилирования граждан (критерии сегментации, психотипы личности, оценка компетенций, целеполагание);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lastRenderedPageBreak/>
        <w:t>составление профиля компетенций гражданина, определение адресного перечня актуальных услуг (комплекса услуг) с учетом профильной группы клиента;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практикум по подготовке скриптов (сценариев) взаимодействия работников центров занятости населения с гражданами при предоставлении комплекса услуг в рамках пилотных жизненных ситуаций;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практикум по анализу и корректировке резюме клиентов;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основы повышения мотивации клиентов;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технологии карьерного консультирования граждан;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работа с цифровыми платформами поиска работы;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помощь клиентам в освоении цифровых инструментов трудоустройства;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внутренняя сеть для обеспечения работы работников центров занятости и поддержки процессов;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принципы информационной безопасности и работы с персональными данными;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в) формирование эффективной системы взаимодействия с работодателями: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развитие коммуникативных способностей консультантов, эффективные приемы делового общения с гражданами;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повышение качества профподбора кадров по заявкам работодателей;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анализ требований вакансии, в том числе с учетом требований корпоративной культуры предприятия в условиях повышения производительности труда в целях повышения качества вакансий;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анализ причин незаполнения и параметров конкурентоспособности вакансий;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практикум по оказанию помощи работодателю в формулировке заявки на вакансию;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профессиоведение, системы классификации профессий, профессиональный и образовательный стандарты, анализ профессионально важных качеств;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формирование модели компетенции по вакантной профессии (должности), сопоставление модели компетенций по вакантной профессии (должности) и профиля компетенций гражданина для обеспечения качественного профотбора;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основы первичного и углубленного профилирования работодателей (критерии сегментации, анализ существующей корпоративной культуры предприятия, оценка компетенций, анализ профессионально важных качеств по востребованным вакансиям);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практикум по подготовке скриптов (сценариев) взаимодействия работников центров занятости населения с работодателями при предоставлении комплекса услуг в рамках пилотных бизнес-ситуаций;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особенности работы с персоналом организации в период сокращения штата;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технологии кадрового консультирования организаций-работодателей;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цифровые инструменты сопровождения организации-работодателя.".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с) изложить </w:t>
      </w:r>
      <w:hyperlink r:id="rId28">
        <w:r>
          <w:rPr>
            <w:color w:val="0000FF"/>
          </w:rPr>
          <w:t>пункты 43</w:t>
        </w:r>
      </w:hyperlink>
      <w:r>
        <w:t xml:space="preserve">, </w:t>
      </w:r>
      <w:hyperlink r:id="rId29">
        <w:r>
          <w:rPr>
            <w:color w:val="0000FF"/>
          </w:rPr>
          <w:t>44</w:t>
        </w:r>
      </w:hyperlink>
      <w:r>
        <w:t xml:space="preserve"> в следующей редакции: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"43. Система оплаты и стимулирования труда (материальная мотивация) работников центра занятости населения регламентируется положением об оплате и стимулировании труда, утверждаемым руководителем (уполномоченным лицом) центра занятости населения в порядке, предусмотренном действующим законодательством.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Система оплаты и стимулирования труда работников центра занятости населения должна </w:t>
      </w:r>
      <w:r>
        <w:lastRenderedPageBreak/>
        <w:t>включать показатели результативности по основным направлениям деятельности.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Положение об оплате и стимулировании труда работников должно содержать информацию об окладах (должностной оклад); доплатах, надбавках компенсационного характера, в том числе за работу в условиях, отклоняющихся от нормальных; выплатах стимулирующего характера, включая показатели (повышающие коэффициенты, надбавки за сложность, напряженность и качество выполненной работы), отражающие основные направления деятельности центра занятости населения.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44. Нематериальная мотивация работников центров занятости населения включает предоставление возможностей профессионального и карьерного развития персонала, мероприятия по совершенствованию организации труда, развитие организационной культуры, реализацию программ охраны здоровья работников.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Система профессионального и карьерного развития персонала предусматривает развитие и расширение профессиональных и коммуникативных компетенций работников, профессиональное обучение, ротацию кадров, проведение конкурсов профессионального мастерства, различные формы поощрений: вручение грамот, наград и знаков отличий, возможности участия в программах формирования и развития кадрового резерва.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Мероприятия по совершенствованию организации труда направлены на оптимизацию процессов трудовой деятельности, совершенствование организации рабочих мест, улучшение условий труда, рациональное распределение нагрузки.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Развитие организационной культуры центра занятости включает активное вовлечение работников в принятие решений, развитие новых форм и методов профессиональной деятельности, создание условий для творческой самореализации работников учреждения.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Программы охраны здоровья предусматривают: профилактические медосмотры и пропаганду здорового образа жизни; вовлечение в занятия спортом сотрудников и членов их семей; мониторинг психофизиологического состояния сотрудников, профилактику "эмоционального выгорания".".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3. </w:t>
      </w:r>
      <w:hyperlink r:id="rId30">
        <w:r>
          <w:rPr>
            <w:color w:val="0000FF"/>
          </w:rPr>
          <w:t>Приложение N 1</w:t>
        </w:r>
      </w:hyperlink>
      <w:r>
        <w:t xml:space="preserve"> к Единым требованиям к организации деятельности органов службы занятости изложить в следующей редакции: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right"/>
      </w:pPr>
      <w:r>
        <w:t>"Приложение N 1</w:t>
      </w:r>
    </w:p>
    <w:p w:rsidR="00AF597B" w:rsidRDefault="00AF597B">
      <w:pPr>
        <w:pStyle w:val="ConsPlusNormal"/>
        <w:jc w:val="right"/>
      </w:pPr>
      <w:r>
        <w:t>к Единым требованиям</w:t>
      </w:r>
    </w:p>
    <w:p w:rsidR="00AF597B" w:rsidRDefault="00AF597B">
      <w:pPr>
        <w:pStyle w:val="ConsPlusNormal"/>
        <w:jc w:val="right"/>
      </w:pPr>
      <w:r>
        <w:t>к организации деятельности</w:t>
      </w:r>
    </w:p>
    <w:p w:rsidR="00AF597B" w:rsidRDefault="00AF597B">
      <w:pPr>
        <w:pStyle w:val="ConsPlusNormal"/>
        <w:jc w:val="right"/>
      </w:pPr>
      <w:r>
        <w:t>органов службы занятости,</w:t>
      </w:r>
    </w:p>
    <w:p w:rsidR="00AF597B" w:rsidRDefault="00AF597B">
      <w:pPr>
        <w:pStyle w:val="ConsPlusNormal"/>
        <w:jc w:val="right"/>
      </w:pPr>
      <w:r>
        <w:t>утвержденным приказом</w:t>
      </w:r>
    </w:p>
    <w:p w:rsidR="00AF597B" w:rsidRDefault="00AF597B">
      <w:pPr>
        <w:pStyle w:val="ConsPlusNormal"/>
        <w:jc w:val="right"/>
      </w:pPr>
      <w:r>
        <w:t>Минтруда России</w:t>
      </w:r>
    </w:p>
    <w:p w:rsidR="00AF597B" w:rsidRDefault="00AF597B">
      <w:pPr>
        <w:pStyle w:val="ConsPlusNormal"/>
        <w:jc w:val="right"/>
      </w:pPr>
      <w:r>
        <w:t>от 29 апреля 2019 г. N 302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ind w:firstLine="540"/>
        <w:jc w:val="both"/>
      </w:pPr>
      <w:r>
        <w:t>Внедрение Единых требований осуществляется в соответствии с планом перспективного развития центров занятости населения, утверждаемым уполномоченным исполнительным органом государственной власти субъекта Российской Федерации, по следующим основным рекомендуемым направлениям: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1) текущий и капитальный ремонт здания и помещений центра занятости населения;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2) оснащение рабочих мест работников центров занятости населения, в том числе: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оборудование зоны цифровых сервисов;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обустройство зон первичного приема, включая оборудование рабочих мест работников;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обустройство зон индивидуальной работы с работодателями и с гражданами, включая оборудование рабочих мест работников;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обустройство и оборудование зоны групповых занятий с гражданами;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3) внедрение фирменного стиля оформления центров занятости населения, в том числе: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изготовление полиграфической продукции, предназначенной для информирования граждан и </w:t>
      </w:r>
      <w:r>
        <w:lastRenderedPageBreak/>
        <w:t>работодателей об услугах и мерах поддержки, предоставляемых в центрах занятости населения;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разработка и реализация комплекса мер информационно-коммуникационной политики (обеспечение коммуникационной кампании, в том числе в средствах массовой информации);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изготовление и установка средств навигации, табличек и вывесок;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обеспечение работников центров занятости населения униформой;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приведение сайтов в соответствие брендбуку "Работа России";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4) внедрение принципов и инструментов бережливого производства, оптимизация процессов и предоставление услуг с учетом жизненных ситуаций граждан и бизнес-ситуаций работодателей, в том числе: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разработка и внедрение пилотных комплексов услуг, оказываемых в соответствии с "жизненными ситуациями" и "бизнес-ситуациями" в режиме "одного окна";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включение в комплексы услуг, оказываемых в соответствии с "жизненными ситуациями" и "бизнес-ситуациями", при необходимости дополнительных услуг, в том числе оказываемых внешними поставщиками; определение порядка взаимодействия с внешними поставщиками при оказании услуг;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запуск процессов оказания дополнительных услуг внешних поставщиков на базе центров занятости населения (по итогам проведения апробации);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разработка, апробация и внедрение новых сервисов центров занятости населения для граждан и работодателей;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реализация проектов по внедрению принципов и инструментов бережливого производства в центрах занятости населения;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5) организация внедрения и распространения единых требований на территории субъекта Российской Федерации, включая в том числе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центров занятости населения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информации, в том числе: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обустройство зоны цифровых сервисов с достаточным количеством рабочих мест и пропускной способностью каналов связи, позволяющим обслужить планируемый поток подачи заявлений на получение государственных услуг в области содействия занятости населения в электронной форме при личном посещении гражданами центра занятости населения;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доработка и организационно-методическое сопровождение функционирования региональных автоматизированных информационных систем с целью предоставления государственных услуг в области содействия занятости населения через единую цифровую платформу в электронной форме и автоматизации информационного обмена между региональной и федеральной системой;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мотивационные мероприятия для сотрудников, посвященных теме повышения качества клиентского опыта (форумы, семинары, фестивали, конкурсы и пр.);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6) формирование системы контроля и оценки качества предоставления государственных услуг в центрах занятости населения;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оборудование системы управления электронной очередью и системой сбора обратной связи о качестве предоставляемых услуг центром занятости населения (планшеты или иные средства сбора информации);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мероприятия по формированию системы измерения качества клиентского опыта, включающих в себя мониторинг открытых источников (средства массовой информации, социальные сети и т.п.), внедрение новых методик для оценки качества клиентского опыта и др.;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 xml:space="preserve">мероприятия по формированию системы совершенствования качества клиентского опыта </w:t>
      </w:r>
      <w:r>
        <w:lastRenderedPageBreak/>
        <w:t>(разработка и реализация мер по оптимизации и реинжинирингу процессов работы центра занятости населения; обновление стандартов обслуживания клиентов центра занятости населения; проектирование нового клиентского опыта и реализация соответствующих решений);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мероприятия по повышению мотивации граждан к выражению обратной связи о работе центров занятости населения (через изготовление и распространение информационных печатных, аудио- и видеоматериалов, публикации в средствах массовой информации, социальные сети, официальный сайт центра занятости населения, баннеры на партнерских ресурсах, цифровые помощники (чат-боты и пр.) и иные каналы);</w:t>
      </w:r>
    </w:p>
    <w:p w:rsidR="00AF597B" w:rsidRDefault="00AF597B">
      <w:pPr>
        <w:pStyle w:val="ConsPlusNormal"/>
        <w:spacing w:before="200"/>
        <w:ind w:firstLine="540"/>
        <w:jc w:val="both"/>
      </w:pPr>
      <w:r>
        <w:t>7) направление на обучение по программам обучения, реализуемым на федеральном уровне: руководителей, заместителей руководителей, работников центров занятости населения.".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ind w:firstLine="540"/>
        <w:jc w:val="both"/>
      </w:pPr>
      <w:r>
        <w:t xml:space="preserve">4. В </w:t>
      </w:r>
      <w:hyperlink r:id="rId31">
        <w:r>
          <w:rPr>
            <w:color w:val="0000FF"/>
          </w:rPr>
          <w:t>приложении N 3</w:t>
        </w:r>
      </w:hyperlink>
      <w:r>
        <w:t xml:space="preserve"> к Единым требованиям в названии заменить слово "которых" словом "котором".</w:t>
      </w: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jc w:val="both"/>
      </w:pPr>
    </w:p>
    <w:p w:rsidR="00AF597B" w:rsidRDefault="00AF59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97B" w:rsidRDefault="00AF597B">
      <w:bookmarkStart w:id="1" w:name="_GoBack"/>
      <w:bookmarkEnd w:id="1"/>
    </w:p>
    <w:sectPr w:rsidR="00AF597B" w:rsidSect="002D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B"/>
    <w:rsid w:val="00A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59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59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59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59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A0CC960EFCED1614A8DD544D5EE81C7A617D3071DC72C9DA6C005EB37F569D915F9FB780FA83059188994E00A18BFDDD17B22184B0CB0CPFq1O" TargetMode="External"/><Relationship Id="rId18" Type="http://schemas.openxmlformats.org/officeDocument/2006/relationships/hyperlink" Target="consultantplus://offline/ref=D7A0CC960EFCED1614A8DD544D5EE81C7A617D3071DC72C9DA6C005EB37F569D915F9FB780FA86009C88994E00A18BFDDD17B22184B0CB0CPFq1O" TargetMode="External"/><Relationship Id="rId26" Type="http://schemas.openxmlformats.org/officeDocument/2006/relationships/hyperlink" Target="consultantplus://offline/ref=D7A0CC960EFCED1614A8DD544D5EE81C7A617D3071DC72C9DA6C005EB37F569D915F9FB780FA82009388994E00A18BFDDD17B22184B0CB0CPFq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A0CC960EFCED1614A8DD544D5EE81C7A617D3071DC72C9DA6C005EB37F569D915F9FB780FA83099188994E00A18BFDDD17B22184B0CB0CPFq1O" TargetMode="External"/><Relationship Id="rId7" Type="http://schemas.openxmlformats.org/officeDocument/2006/relationships/hyperlink" Target="consultantplus://offline/ref=D7A0CC960EFCED1614A8DD544D5EE81C7A617D3071DC72C9DA6C005EB37F569D915F9FB780FA83049D88994E00A18BFDDD17B22184B0CB0CPFq1O" TargetMode="External"/><Relationship Id="rId12" Type="http://schemas.openxmlformats.org/officeDocument/2006/relationships/hyperlink" Target="consultantplus://offline/ref=D7A0CC960EFCED1614A8DD544D5EE81C7A617D3071DC72C9DA6C005EB37F569D915F9FB780FA86039088994E00A18BFDDD17B22184B0CB0CPFq1O" TargetMode="External"/><Relationship Id="rId17" Type="http://schemas.openxmlformats.org/officeDocument/2006/relationships/hyperlink" Target="consultantplus://offline/ref=D7A0CC960EFCED1614A8DD544D5EE81C7A617D3071DC72C9DA6C005EB37F569D915F9FB780FA85009D88994E00A18BFDDD17B22184B0CB0CPFq1O" TargetMode="External"/><Relationship Id="rId25" Type="http://schemas.openxmlformats.org/officeDocument/2006/relationships/hyperlink" Target="consultantplus://offline/ref=D7A0CC960EFCED1614A8DD544D5EE81C7A617D3071DC72C9DA6C005EB37F569D915F9FB780FA82009488994E00A18BFDDD17B22184B0CB0CPFq1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A0CC960EFCED1614A8DD544D5EE81C7A617D3071DC72C9DA6C005EB37F569D915F9FB780FA85009388994E00A18BFDDD17B22184B0CB0CPFq1O" TargetMode="External"/><Relationship Id="rId20" Type="http://schemas.openxmlformats.org/officeDocument/2006/relationships/hyperlink" Target="consultantplus://offline/ref=D7A0CC960EFCED1614A8DD544D5EE81C7A617D3071DC72C9DA6C005EB37F569D915F9FB780FA83099088994E00A18BFDDD17B22184B0CB0CPFq1O" TargetMode="External"/><Relationship Id="rId29" Type="http://schemas.openxmlformats.org/officeDocument/2006/relationships/hyperlink" Target="consultantplus://offline/ref=D7A0CC960EFCED1614A8DD544D5EE81C7A617D3071DC72C9DA6C005EB37F569D915F9FB780FA82029088994E00A18BFDDD17B22184B0CB0CPFq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0CC960EFCED1614A8DD544D5EE81C7A617D3071DC72C9DA6C005EB37F569D835FC7BB82F29900909DCF1F46PFq6O" TargetMode="External"/><Relationship Id="rId11" Type="http://schemas.openxmlformats.org/officeDocument/2006/relationships/hyperlink" Target="consultantplus://offline/ref=D7A0CC960EFCED1614A8DD544D5EE81C7A617D3071DC72C9DA6C005EB37F569D915F9FB780FA86019C88994E00A18BFDDD17B22184B0CB0CPFq1O" TargetMode="External"/><Relationship Id="rId24" Type="http://schemas.openxmlformats.org/officeDocument/2006/relationships/hyperlink" Target="consultantplus://offline/ref=D7A0CC960EFCED1614A8DD544D5EE81C7A617D3071DC72C9DA6C005EB37F569D915F9FB780FA83099D88994E00A18BFDDD17B22184B0CB0CPFq1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A0CC960EFCED1614A8DD544D5EE81C7A617D3071DC72C9DA6C005EB37F569D915F9FB780FA83059D88994E00A18BFDDD17B22184B0CB0CPFq1O" TargetMode="External"/><Relationship Id="rId23" Type="http://schemas.openxmlformats.org/officeDocument/2006/relationships/hyperlink" Target="consultantplus://offline/ref=D7A0CC960EFCED1614A8DD544D5EE81C7A617D3071DC72C9DA6C005EB37F569D915F9FB780FA83099388994E00A18BFDDD17B22184B0CB0CPFq1O" TargetMode="External"/><Relationship Id="rId28" Type="http://schemas.openxmlformats.org/officeDocument/2006/relationships/hyperlink" Target="consultantplus://offline/ref=D7A0CC960EFCED1614A8DD544D5EE81C7A617D3071DC72C9DA6C005EB37F569D915F9FB780FA82029588994E00A18BFDDD17B22184B0CB0CPFq1O" TargetMode="External"/><Relationship Id="rId10" Type="http://schemas.openxmlformats.org/officeDocument/2006/relationships/hyperlink" Target="consultantplus://offline/ref=D7A0CC960EFCED1614A8DD544D5EE81C7A617D3071DC72C9DA6C005EB37F569D915F9FB780FA86009C88994E00A18BFDDD17B22184B0CB0CPFq1O" TargetMode="External"/><Relationship Id="rId19" Type="http://schemas.openxmlformats.org/officeDocument/2006/relationships/hyperlink" Target="consultantplus://offline/ref=D7A0CC960EFCED1614A8DD544D5EE81C7A617D3071DC72C9DA6C005EB37F569D915F9FB780FA85079388994E00A18BFDDD17B22184B0CB0CPFq1O" TargetMode="External"/><Relationship Id="rId31" Type="http://schemas.openxmlformats.org/officeDocument/2006/relationships/hyperlink" Target="consultantplus://offline/ref=D7A0CC960EFCED1614A8DD544D5EE81C7A617D3071DC72C9DA6C005EB37F569D915F9FB780FA82059D88994E00A18BFDDD17B22184B0CB0CPF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0CC960EFCED1614A8DD544D5EE81C7A617D3071DC72C9DA6C005EB37F569D915F9FB780FA82069788994E00A18BFDDD17B22184B0CB0CPFq1O" TargetMode="External"/><Relationship Id="rId14" Type="http://schemas.openxmlformats.org/officeDocument/2006/relationships/hyperlink" Target="consultantplus://offline/ref=D7A0CC960EFCED1614A8DD544D5EE81C7A617D3071DC72C9DA6C005EB37F569D915F9FB780FA86059588994E00A18BFDDD17B22184B0CB0CPFq1O" TargetMode="External"/><Relationship Id="rId22" Type="http://schemas.openxmlformats.org/officeDocument/2006/relationships/hyperlink" Target="consultantplus://offline/ref=D7A0CC960EFCED1614A8DD544D5EE81C7A617D3071DC72C9DA6C005EB37F569D915F9FB780FA85089D88994E00A18BFDDD17B22184B0CB0CPFq1O" TargetMode="External"/><Relationship Id="rId27" Type="http://schemas.openxmlformats.org/officeDocument/2006/relationships/hyperlink" Target="consultantplus://offline/ref=D7A0CC960EFCED1614A8DD544D5EE81C7A617D3071DC72C9DA6C005EB37F569D915F9FB780FA84049388994E00A18BFDDD17B22184B0CB0CPFq1O" TargetMode="External"/><Relationship Id="rId30" Type="http://schemas.openxmlformats.org/officeDocument/2006/relationships/hyperlink" Target="consultantplus://offline/ref=D7A0CC960EFCED1614A8DD544D5EE81C7A617D3071DC72C9DA6C005EB37F569D915F9FB780FA82099188994E00A18BFDDD17B22184B0CB0CPFq1O" TargetMode="External"/><Relationship Id="rId8" Type="http://schemas.openxmlformats.org/officeDocument/2006/relationships/hyperlink" Target="consultantplus://offline/ref=D7A0CC960EFCED1614A8DD544D5EE81C7A617D3071DC72C9DA6C005EB37F569D915F9FB780FA86009C88994E00A18BFDDD17B22184B0CB0CPF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2022-04-28T14:42:00Z</dcterms:created>
  <dcterms:modified xsi:type="dcterms:W3CDTF">2022-04-28T14:43:00Z</dcterms:modified>
</cp:coreProperties>
</file>