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center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Федеральный центр компетенций в сфере занятости Минтруда России</w:t>
      </w:r>
    </w:p>
    <w:p>
      <w:pPr>
        <w:pStyle w:val="Normal"/>
        <w:suppressAutoHyphens w:val="true"/>
        <w:rPr>
          <w:rFonts w:ascii="Times New Roman" w:hAnsi="Times New Roman" w:eastAsia="NSimSun" w:cs="Lucida Sans"/>
          <w:color w:val="000000" w:themeColor="text1"/>
          <w:kern w:val="2"/>
          <w:sz w:val="40"/>
          <w:szCs w:val="40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40"/>
          <w:szCs w:val="40"/>
          <w:lang w:eastAsia="zh-CN" w:bidi="hi-IN"/>
        </w:rPr>
      </w:r>
    </w:p>
    <w:p>
      <w:pPr>
        <w:pStyle w:val="Normal"/>
        <w:suppressAutoHyphens w:val="true"/>
        <w:rPr>
          <w:rFonts w:ascii="Times New Roman" w:hAnsi="Times New Roman" w:eastAsia="NSimSun" w:cs="Lucida Sans"/>
          <w:color w:val="000000" w:themeColor="text1"/>
          <w:kern w:val="2"/>
          <w:sz w:val="40"/>
          <w:szCs w:val="40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40"/>
          <w:szCs w:val="40"/>
          <w:lang w:eastAsia="zh-CN" w:bidi="hi-IN"/>
        </w:rPr>
      </w:r>
    </w:p>
    <w:p>
      <w:pPr>
        <w:pStyle w:val="Normal"/>
        <w:suppressAutoHyphens w:val="true"/>
        <w:rPr>
          <w:rFonts w:ascii="Times New Roman" w:hAnsi="Times New Roman" w:eastAsia="NSimSun" w:cs="Lucida Sans"/>
          <w:color w:val="000000" w:themeColor="text1"/>
          <w:kern w:val="2"/>
          <w:sz w:val="40"/>
          <w:szCs w:val="40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40"/>
          <w:szCs w:val="40"/>
          <w:lang w:eastAsia="zh-CN" w:bidi="hi-IN"/>
        </w:rPr>
      </w:r>
    </w:p>
    <w:p>
      <w:pPr>
        <w:pStyle w:val="Normal"/>
        <w:suppressAutoHyphens w:val="true"/>
        <w:rPr>
          <w:rFonts w:ascii="Times New Roman" w:hAnsi="Times New Roman" w:eastAsia="NSimSun" w:cs="Lucida Sans"/>
          <w:color w:val="000000" w:themeColor="text1"/>
          <w:kern w:val="2"/>
          <w:sz w:val="40"/>
          <w:szCs w:val="40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40"/>
          <w:szCs w:val="40"/>
          <w:lang w:eastAsia="zh-CN" w:bidi="hi-IN"/>
        </w:rPr>
      </w:r>
    </w:p>
    <w:p>
      <w:pPr>
        <w:pStyle w:val="Normal"/>
        <w:suppressAutoHyphens w:val="true"/>
        <w:rPr>
          <w:rFonts w:ascii="Times New Roman" w:hAnsi="Times New Roman" w:eastAsia="NSimSun" w:cs="Lucida Sans"/>
          <w:color w:val="000000" w:themeColor="text1"/>
          <w:kern w:val="2"/>
          <w:sz w:val="40"/>
          <w:szCs w:val="40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40"/>
          <w:szCs w:val="40"/>
          <w:lang w:eastAsia="zh-CN" w:bidi="hi-IN"/>
        </w:rPr>
      </w:r>
    </w:p>
    <w:p>
      <w:pPr>
        <w:pStyle w:val="Normal"/>
        <w:suppressAutoHyphens w:val="true"/>
        <w:rPr>
          <w:rFonts w:ascii="Times New Roman" w:hAnsi="Times New Roman" w:eastAsia="NSimSun" w:cs="Lucida Sans"/>
          <w:color w:val="000000" w:themeColor="text1"/>
          <w:kern w:val="2"/>
          <w:sz w:val="40"/>
          <w:szCs w:val="40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40"/>
          <w:szCs w:val="40"/>
          <w:lang w:eastAsia="zh-CN" w:bidi="hi-I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2726055" cy="11245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И ПРАКТИЧЕСКИЕ РЕКОМЕНДАЦИИ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СОЗДАНИЮ И ОРГАНИЗАЦИИ РАБОТЫ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МОЛОДЕЖНЫХ КЛУБОВ </w:t>
        <w:br/>
        <w:t>ПРИ ЦЕНТРАХ ЗАНЯТОСТИ НАСЕЛЕНИЯ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iCs/>
          <w:color w:val="1F4E79" w:themeColor="accent1" w:themeShade="80"/>
          <w:sz w:val="28"/>
          <w:szCs w:val="28"/>
        </w:rPr>
        <w:t>(версия от 4 октября 2023 года)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Москва 2023</w:t>
      </w:r>
    </w:p>
    <w:p>
      <w:pPr>
        <w:pStyle w:val="Normal"/>
        <w:suppressAutoHyphens w:val="true"/>
        <w:jc w:val="center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</w:r>
    </w:p>
    <w:p>
      <w:pPr>
        <w:sectPr>
          <w:footerReference w:type="default" r:id="rId3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extDirection w:val="lrTb"/>
          <w:docGrid w:type="default" w:linePitch="360" w:charSpace="0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33"/>
            <w:rPr/>
          </w:pPr>
          <w:r>
            <w:rPr/>
            <w:t>Оглавление</w:t>
          </w:r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r>
            <w:fldChar w:fldCharType="begin"/>
          </w:r>
          <w:r>
            <w:rPr>
              <w:webHidden/>
              <w:rStyle w:val="Style17"/>
            </w:rPr>
            <w:instrText xml:space="preserve"> TOC \z \o "1-3" \u \h</w:instrText>
          </w:r>
          <w:r>
            <w:rPr>
              <w:webHidden/>
              <w:rStyle w:val="Style17"/>
            </w:rPr>
            <w:fldChar w:fldCharType="separate"/>
          </w:r>
          <w:hyperlink w:anchor="__RefHeading___Toc1646_1131526044">
            <w:r>
              <w:rPr>
                <w:webHidden/>
                <w:rStyle w:val="Style17"/>
              </w:rPr>
              <w:t>Введение</w:t>
              <w:tab/>
              <w:t>3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48_1131526044">
            <w:r>
              <w:rPr>
                <w:webHidden/>
                <w:rStyle w:val="Style17"/>
              </w:rPr>
              <w:t>1. Молодежный клуб при ЦЗН</w:t>
              <w:tab/>
              <w:t>4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50_1131526044">
            <w:r>
              <w:rPr>
                <w:webHidden/>
                <w:rStyle w:val="Style17"/>
              </w:rPr>
              <w:t>1.1. Что такое молодежный клуб</w:t>
              <w:tab/>
              <w:t>5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9259_3053289631">
            <w:r>
              <w:rPr>
                <w:webHidden/>
                <w:rStyle w:val="Style17"/>
              </w:rPr>
              <w:t>1.2. Цели и задачи создания МК ЦЗН</w:t>
              <w:tab/>
              <w:t>6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52_1131526044">
            <w:r>
              <w:rPr>
                <w:webHidden/>
                <w:rStyle w:val="Style17"/>
              </w:rPr>
              <w:t>1.3. Функциональная структура МК ЦЗН</w:t>
              <w:tab/>
              <w:t>8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54_1131526044">
            <w:r>
              <w:rPr>
                <w:webHidden/>
                <w:rStyle w:val="Style17"/>
              </w:rPr>
              <w:t>1.4. Этапы создания МК ЦЗН</w:t>
              <w:tab/>
              <w:t>11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56_1131526044">
            <w:r>
              <w:rPr>
                <w:webHidden/>
                <w:rStyle w:val="Style17"/>
              </w:rPr>
              <w:t>1.5. Практические рекомендации по организации работы МК ЦЗН</w:t>
              <w:tab/>
              <w:t>14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58_1131526044">
            <w:r>
              <w:rPr>
                <w:webHidden/>
                <w:rStyle w:val="Style17"/>
              </w:rPr>
              <w:t>1.6. Принципы организации и проведения событий и мероприятий в рамках деятельности МК ЦЗН</w:t>
              <w:tab/>
              <w:t>19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60_1131526044">
            <w:r>
              <w:rPr>
                <w:webHidden/>
                <w:rStyle w:val="Style17"/>
              </w:rPr>
              <w:t>1.7. Показатели эффективности деятельности МК ЦЗН</w:t>
              <w:tab/>
              <w:t>22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62_1131526044">
            <w:r>
              <w:rPr>
                <w:webHidden/>
                <w:rStyle w:val="Style17"/>
              </w:rPr>
              <w:t>1.8. Поддержка МК ЦЗН на федеральном уровне</w:t>
              <w:tab/>
              <w:t>23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64_1131526044">
            <w:r>
              <w:rPr>
                <w:webHidden/>
                <w:rStyle w:val="Style17"/>
              </w:rPr>
              <w:t xml:space="preserve">2. Региональные примеры содействия занятости молодежи, реализованные в том числе при участии органов власти в сфере занятости </w:t>
            </w:r>
            <w:r>
              <w:rPr>
                <w:rStyle w:val="Style17"/>
                <w:i/>
                <w:iCs/>
              </w:rPr>
              <w:t>(выборочно)</w:t>
            </w:r>
            <w:r>
              <w:rPr>
                <w:rStyle w:val="Style17"/>
              </w:rPr>
              <w:tab/>
              <w:t>25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66_1131526044">
            <w:r>
              <w:rPr>
                <w:webHidden/>
                <w:rStyle w:val="Style17"/>
              </w:rPr>
              <w:t>Алтайский край</w:t>
              <w:tab/>
              <w:t>25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68_1131526044">
            <w:r>
              <w:rPr>
                <w:webHidden/>
                <w:rStyle w:val="Style17"/>
              </w:rPr>
              <w:t>Архангельская область</w:t>
              <w:tab/>
              <w:t>25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70_1131526044">
            <w:r>
              <w:rPr>
                <w:webHidden/>
                <w:rStyle w:val="Style17"/>
              </w:rPr>
              <w:t>Вологодская область</w:t>
              <w:tab/>
              <w:t>25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72_1131526044">
            <w:r>
              <w:rPr>
                <w:webHidden/>
                <w:rStyle w:val="Style17"/>
              </w:rPr>
              <w:t>Новгородская область</w:t>
              <w:tab/>
              <w:t>26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74_1131526044">
            <w:r>
              <w:rPr>
                <w:webHidden/>
                <w:rStyle w:val="Style17"/>
              </w:rPr>
              <w:t>Новосибирская область</w:t>
              <w:tab/>
              <w:t>27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76_1131526044">
            <w:r>
              <w:rPr>
                <w:webHidden/>
                <w:rStyle w:val="Style17"/>
              </w:rPr>
              <w:t>Омская область</w:t>
              <w:tab/>
              <w:t>27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78_1131526044">
            <w:r>
              <w:rPr>
                <w:webHidden/>
                <w:rStyle w:val="Style17"/>
              </w:rPr>
              <w:t>Оренбургская область</w:t>
              <w:tab/>
              <w:t>28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80_1131526044">
            <w:r>
              <w:rPr>
                <w:webHidden/>
                <w:rStyle w:val="Style17"/>
              </w:rPr>
              <w:t>Самарская область</w:t>
              <w:tab/>
              <w:t>29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82_1131526044">
            <w:r>
              <w:rPr>
                <w:webHidden/>
                <w:rStyle w:val="Style17"/>
              </w:rPr>
              <w:t>г. Санкт-Петербург</w:t>
              <w:tab/>
              <w:t>31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84_1131526044">
            <w:r>
              <w:rPr>
                <w:webHidden/>
                <w:rStyle w:val="Style17"/>
              </w:rPr>
              <w:t>Сахалинская область</w:t>
              <w:tab/>
              <w:t>32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86_1131526044">
            <w:r>
              <w:rPr>
                <w:webHidden/>
                <w:rStyle w:val="Style17"/>
              </w:rPr>
              <w:t>Республика Татарстан</w:t>
              <w:tab/>
              <w:t>34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88_1131526044">
            <w:r>
              <w:rPr>
                <w:webHidden/>
                <w:rStyle w:val="Style17"/>
              </w:rPr>
              <w:t>Тверская область</w:t>
              <w:tab/>
              <w:t>34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90_1131526044">
            <w:r>
              <w:rPr>
                <w:webHidden/>
                <w:rStyle w:val="Style17"/>
              </w:rPr>
              <w:t>Ямало-Ненецкий административный округ</w:t>
              <w:tab/>
              <w:t>35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92_1131526044">
            <w:r>
              <w:rPr>
                <w:webHidden/>
                <w:rStyle w:val="Style17"/>
              </w:rPr>
              <w:t>Ярославская область</w:t>
              <w:tab/>
              <w:t>36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704_1131526044">
            <w:r>
              <w:rPr>
                <w:webHidden/>
                <w:rStyle w:val="Style17"/>
              </w:rPr>
              <w:t>3. Актуальные проблемы занятости молодежи</w:t>
              <w:tab/>
              <w:t>39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94_1131526044">
            <w:r>
              <w:rPr>
                <w:webHidden/>
                <w:rStyle w:val="Style17"/>
              </w:rPr>
              <w:t>3.1. Характеристика молодежного рынка труда</w:t>
              <w:tab/>
              <w:t>39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96_1131526044">
            <w:r>
              <w:rPr>
                <w:webHidden/>
                <w:rStyle w:val="Style17"/>
              </w:rPr>
              <w:t>3.2. Перспективы занятости молодежи</w:t>
              <w:tab/>
              <w:t>44</w:t>
            </w:r>
          </w:hyperlink>
        </w:p>
        <w:p>
          <w:pPr>
            <w:pStyle w:val="17"/>
            <w:tabs>
              <w:tab w:val="clear" w:pos="708"/>
              <w:tab w:val="right" w:pos="9355" w:leader="dot"/>
            </w:tabs>
            <w:rPr/>
          </w:pPr>
          <w:hyperlink w:anchor="__RefHeading___Toc1698_1131526044">
            <w:r>
              <w:rPr>
                <w:webHidden/>
                <w:rStyle w:val="Style17"/>
              </w:rPr>
              <w:t>Приложение</w:t>
              <w:tab/>
              <w:t>47</w:t>
            </w:r>
          </w:hyperlink>
          <w:r>
            <w:rPr>
              <w:rStyle w:val="Style17"/>
            </w:rPr>
            <w:fldChar w:fldCharType="end"/>
          </w:r>
        </w:p>
      </w:sdtContent>
    </w:sdt>
    <w:p>
      <w:pPr>
        <w:sectPr>
          <w:footerReference w:type="default" r:id="rId4"/>
          <w:footerReference w:type="first" r:id="rId5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jc w:val="center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</w:r>
    </w:p>
    <w:p>
      <w:pPr>
        <w:pStyle w:val="1"/>
        <w:spacing w:lineRule="auto" w:line="360" w:before="0" w:after="0"/>
        <w:ind w:left="708" w:hanging="0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0" w:name="__RefHeading___Toc1646_1131526044"/>
      <w:bookmarkStart w:id="1" w:name="_Toc149324107"/>
      <w:bookmarkEnd w:id="0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Введение</w:t>
      </w:r>
      <w:bookmarkEnd w:id="1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Перед вами документ «Методические рекомендации по созданию и сопровождению деятельности молодежных клубов» (далее - Методические рекомендации), разработанный специально для Центров занятости населения.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 нем раскрываются различные аспекты управления молодежным клубом, а именно: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практические рекомендации по созданию молодежного клуба при ЦЗН (далее - МК ЦЗН): этапы создания и запуска работы клуба;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описание функциональной структуры и требования к сотруднику ЦЗН, курирующему работу молодежного клуба;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принципы позиционирования МК ЦЗН;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рекомендации к организации пространства МК ЦЗН;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принципы работы с молодежной аудиторией;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описание показателей эффективности деятельности МК ЦЗН;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примеры региональных практик, способствующих занятости молодежи.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Рекомендации могут быть использованы при создании и развитии молодежного клуба конкретного ЦЗН, а также для разработки системы мониторинга качества деятельности молодежных клубов региона.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 документе также представлен краткий анализ молодежного рынка труда, тенденций его развития, а также актуальные проблемы занятости молодежи.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Необходимо отметить, что в документе представлены не строгие требования, а набор рекомендаций и примеры региональных практик, которые могут быть адаптированы под цели и задачи молодежного клуба конкретного ЦЗН.</w:t>
      </w:r>
    </w:p>
    <w:p>
      <w:pPr>
        <w:pStyle w:val="Normal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  <w:r>
        <w:br w:type="page"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2" w:name="__RefHeading___Toc1648_1131526044"/>
      <w:bookmarkStart w:id="3" w:name="_Toc149324108"/>
      <w:bookmarkEnd w:id="2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Молодежный клуб при ЦЗН</w:t>
      </w:r>
      <w:bookmarkEnd w:id="3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Одним из механизмов выстраивания системной и комплексной работы с гражданами категории «молодежь» во многих субъектах РФ становятся молодежные клубы при центрах занятости населения.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Эти проекты, действующие на базе ЦЗН под условным названием «молодежный клуб», способствуют интеграции усилий по обеспечению занятости молодежи, ее качественного и эффективного сопровождении на рынке труда, развитию творческого и профессионального потенциала.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Как показывает практика, эффективная работа молодежных клубов в целом повышает привлекательность оказываемых ЦЗН услуг среди данной категории граждан.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Кроме того, актуальность создания МК при ЦЗН мы также связываем со следующими факторами: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ЦЗН является основным «держателем» услуг и сервисов, связанных с поиском работы и обеспечением занятости,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ЦЗН обладает необходимыми ресурсами для осуществления интеграционной деятельности в интересах молодежи в сотрудничестве с работодателями и партнерами, объединяя и концентрируя усилия всех сторон,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ЦЗН имеет возможность аккумулировать лучший региональный и местный опыт и практики,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ЦЗН обладает необходимой инфраструктурой, материально-технической и методической базой для сопровождения деятельности МК ЦЗН,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ЦЗН – это команда профессионалов, обладающих многопрофильными профессиональными компетенциями по оказанию всего спектра услуг, связанных с поиском работы и содействию занятости.</w:t>
      </w:r>
    </w:p>
    <w:p>
      <w:pPr>
        <w:pStyle w:val="ListParagraph"/>
        <w:tabs>
          <w:tab w:val="clear" w:pos="708"/>
          <w:tab w:val="left" w:pos="720" w:leader="none"/>
        </w:tabs>
        <w:spacing w:lineRule="auto" w:line="360"/>
        <w:ind w:left="0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ListParagraph"/>
        <w:tabs>
          <w:tab w:val="clear" w:pos="708"/>
          <w:tab w:val="left" w:pos="720" w:leader="none"/>
        </w:tabs>
        <w:spacing w:lineRule="auto" w:line="360"/>
        <w:ind w:left="0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szCs w:val="28"/>
          <w:shd w:fill="FFFFFF" w:val="clear"/>
        </w:rPr>
      </w:pPr>
      <w:bookmarkStart w:id="4" w:name="__RefHeading___Toc1650_1131526044"/>
      <w:bookmarkStart w:id="5" w:name="_Toc149324109"/>
      <w:bookmarkEnd w:id="4"/>
      <w:r>
        <w:rPr>
          <w:rFonts w:ascii="Times New Roman" w:hAnsi="Times New Roman"/>
          <w:color w:val="000000" w:themeColor="text1"/>
          <w:szCs w:val="28"/>
          <w:shd w:fill="FFFFFF" w:val="clear"/>
        </w:rPr>
        <w:t>Что такое молодежный клуб</w:t>
      </w:r>
      <w:bookmarkEnd w:id="5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i/>
          <w:i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fill="FFFFFF" w:val="clear"/>
        </w:rPr>
        <w:t>Молодежный клуб при ЦЗН — добровольное объединение молодых людей с целью развития карьеры, самореализации и нетворкинга с опорой на инфраструктуру, методическую поддержку и услуги службы занятости.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Остановимся на понятии «молодежь» и разберемся, кого, согласно законодательству РФ, следует относить к данной категории граждан.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До 2021 года категория молодежи определялась возрастными границами от 15 до 29 лет. В 2021 г. вступил в силу новый закон «О молодежной политике в Российской Федерации», который расширяет границы молодежного возраста и закрепляет их от 14 до 35 лет включительно (Федеральный закон от 30.12.2020 № 489-ФЗ «О молодежной политике в Российской Федерации»).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Таким образом, согласно действующему законодательству, молодежь, молодые граждане – это социально-демографическая группа лиц в возрасте от 14 до 35 лет включительно, имеющих гражданство Российской Федерации.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Молодежь — это внутренне неоднородная группа. Для более предметного понимания происходящих с ней процессов в категории «молодежь» следует различать несколько групп: 14–19 лет, 20–24 года, 25–29 лет и 30-35 лет.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Кроме возрастных границ, основанием для разделения на группы являются и другие факторы, которые подробно будут раскрыты в следующих разделах Методических рекомендаций.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Проект создания МК при ЦЗН актуален для всех возрастных групп молодых граждан в связи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 потребностью найти «свой путь», определиться с профессией, простроить карьерную траекторию, выбрать правильное направление обучения;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 возможностью получения актуальной информации о рынке труда, о появлении новых профессий, изменении спроса со стороны работодателей и пр.;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 возможностью коммуникаций, выстраиванию горизонтальных связей, нетворкинга, которые в течение жизни могут значительно усилить позиции молодых людей за счет создания совместных предприятий, командной работы.</w:t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szCs w:val="28"/>
          <w:shd w:fill="FFFFFF" w:val="clear"/>
        </w:rPr>
      </w:pPr>
      <w:bookmarkStart w:id="6" w:name="__RefHeading___Toc9259_3053289631"/>
      <w:bookmarkStart w:id="7" w:name="_Toc149324110"/>
      <w:bookmarkEnd w:id="6"/>
      <w:r>
        <w:rPr>
          <w:rFonts w:ascii="Times New Roman" w:hAnsi="Times New Roman"/>
          <w:color w:val="000000" w:themeColor="text1"/>
          <w:szCs w:val="28"/>
          <w:shd w:fill="FFFFFF" w:val="clear"/>
        </w:rPr>
        <w:t>Цели и задачи создания МК ЦЗН</w:t>
      </w:r>
      <w:bookmarkEnd w:id="7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Создание МК ЦЗН направлено на достижение следующих целей: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содействие обеспечению занятости молодежи;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повышение конкурентоспособности молодежи на рынке труда;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стимулирование интереса молодежи к востребованным профессиям и отраслям экономики;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знакомство с локальным рынком труда и содействие снижению миграционного оттока.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Для достижения обозначенных целей необходимо решить задачи: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формирования информационного пространства, ориентирующего молодежь на профессиональное развитие и повышение мотивации к трудоустройству;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поддержки молодежи на карьерном маршруте;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обучения технологиям поиска работы и самопрезентации;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распространения среди молодежи положительных примеров эффективной занятости молодежи, в том числе самозанятость, индивидуальное предпринимательство;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выстраивания системной комплексной работы с молодежью, направленной на содействие в профессиональной реализации, с   учетом потребностей, «болей», психологических, социально-демографических и иных особенностей всех возрастных групп, а также принимая во внимание жизненные ситуации;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выработки гибких и эффективных совместных механизмов взаимодействия службы занятости с работодателями и социальными партнерами (образовательные учреждения, центры развития карьеры в вузах и пр.).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Создание МК ЦЗН учитывает интересы всех сторон и способствует решению задач на разных уровнях: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/>
        <w:ind w:left="1068" w:hanging="360"/>
        <w:jc w:val="both"/>
        <w:rPr>
          <w:rFonts w:ascii="Times New Roman" w:hAnsi="Times New Roman" w:eastAsia="NSimSun" w:cs="Lucida Sans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для молодежи</w:t>
      </w: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— </w:t>
      </w:r>
      <w:r>
        <w:rPr>
          <w:rFonts w:eastAsia="NSimSun" w:cs="Lucida Sans" w:ascii="Times New Roman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это возможность выстраивания карьерной траектории, ведущей к профессиональной, личностной самореализации и росту благосостояния;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/>
        <w:ind w:left="1068" w:hanging="360"/>
        <w:jc w:val="both"/>
        <w:rPr>
          <w:rFonts w:ascii="Times New Roman" w:hAnsi="Times New Roman" w:eastAsia="NSimSun" w:cs="Lucida Sans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для службы занятости — это повышение эффективности реализации госполитики в сфере занятости, возможность донастройки услуг и сервисов в интересах целевой аудитории, повышение лояльности молодежи к услугам центров занятости;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/>
        <w:ind w:left="1068" w:hanging="360"/>
        <w:jc w:val="both"/>
        <w:rPr>
          <w:rFonts w:ascii="Times New Roman" w:hAnsi="Times New Roman" w:eastAsia="NSimSun" w:cs="Lucida Sans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для работодателя — это возможность найма мотивированного и вовлеченного персонала из числа молодых граждан, обладающих необходимой квалификацией, хорошо ориентирующихся на рынке труда и прошедших профориентацию и обучение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360"/>
        <w:ind w:left="1068" w:hanging="0"/>
        <w:jc w:val="both"/>
        <w:rPr>
          <w:rFonts w:ascii="Times New Roman" w:hAnsi="Times New Roman" w:eastAsia="NSimSun" w:cs="Lucida Sans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МК ЦЗН – это фактически инструмент «вербовки» квалифицированных, при этом мотивированных и вовлеченных соискателей из числа молодежи;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/>
        <w:ind w:left="1068" w:hanging="360"/>
        <w:jc w:val="both"/>
        <w:rPr>
          <w:rFonts w:ascii="Times New Roman" w:hAnsi="Times New Roman" w:eastAsia="NSimSun" w:cs="Lucida Sans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для партнеров — это «готовая площадка» для выстраивания работы с молодежной аудиторией в области содействия занятости;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/>
        <w:ind w:left="1068" w:hanging="360"/>
        <w:jc w:val="both"/>
        <w:rPr>
          <w:rFonts w:ascii="Times New Roman" w:hAnsi="Times New Roman" w:eastAsia="NSimSun" w:cs="Lucida Sans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для государства — это реальный механизм, способствующий развитию и эффективному использованию потенциала молодежи для построения экономики будущего и развития гражданского общества в целом.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i/>
          <w:i/>
          <w:iCs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В настоящее время в ЦЗН в интересах молодежи реализован ряд сервисов в рамках жизненной ситуации «Молодые специалисты». Их подробный перечень представлен в Приложении. Данные услуги и сервисы в настоящее время активно и успешно применяются специалистами ЦЗН в работе с молодыми гражданами. Некоторые сервисы переведены в цифровой формат, что безусловно повышает комфортность и востребованность государственных услуг молодежным сегментом.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i/>
          <w:i/>
          <w:iCs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szCs w:val="28"/>
          <w:shd w:fill="FFFFFF" w:val="clear"/>
        </w:rPr>
      </w:pPr>
      <w:bookmarkStart w:id="8" w:name="__RefHeading___Toc1652_1131526044"/>
      <w:bookmarkStart w:id="9" w:name="_Toc149324111"/>
      <w:bookmarkEnd w:id="8"/>
      <w:r>
        <w:rPr>
          <w:rFonts w:ascii="Times New Roman" w:hAnsi="Times New Roman"/>
          <w:color w:val="000000" w:themeColor="text1"/>
          <w:szCs w:val="28"/>
          <w:shd w:fill="FFFFFF" w:val="clear"/>
        </w:rPr>
        <w:t>Функциональная структура МК ЦЗН</w:t>
      </w:r>
      <w:bookmarkEnd w:id="9"/>
    </w:p>
    <w:p>
      <w:pPr>
        <w:pStyle w:val="Normal"/>
        <w:spacing w:lineRule="auto" w:line="360" w:before="120" w:after="120"/>
        <w:ind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Молодежный клуб создается на базе территориального центра занятости.    </w:t>
      </w:r>
    </w:p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Структура МК ЦЗН должна быть представлена следующими функциональными элементами.</w:t>
      </w:r>
    </w:p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МК ЦЗН (</w:t>
      </w:r>
      <w:r>
        <w:rPr>
          <w:rFonts w:eastAsia="Calibri" w:ascii="Times New Roman" w:hAnsi="Times New Roman"/>
          <w:b/>
          <w:bCs/>
          <w:color w:val="000000" w:themeColor="text1"/>
          <w:sz w:val="28"/>
          <w:szCs w:val="28"/>
        </w:rPr>
        <w:t>основной орган клубного самоуправления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</w:p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задачи работы Совета МК ЦЗН:</w:t>
      </w:r>
    </w:p>
    <w:p>
      <w:pPr>
        <w:pStyle w:val="Normal"/>
        <w:numPr>
          <w:ilvl w:val="0"/>
          <w:numId w:val="5"/>
        </w:numPr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собирает информацию о потребностях участников клуба (через опросы и интервью),</w:t>
      </w:r>
    </w:p>
    <w:p>
      <w:pPr>
        <w:pStyle w:val="Normal"/>
        <w:numPr>
          <w:ilvl w:val="0"/>
          <w:numId w:val="5"/>
        </w:numPr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разрабатывает стратегию и дорожную карту работы клуба,</w:t>
      </w:r>
    </w:p>
    <w:p>
      <w:pPr>
        <w:pStyle w:val="Normal"/>
        <w:numPr>
          <w:ilvl w:val="0"/>
          <w:numId w:val="5"/>
        </w:numPr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организует мероприятия клуба, распределяя обязанности, занимаясь ресурсным обеспечением,</w:t>
      </w:r>
    </w:p>
    <w:p>
      <w:pPr>
        <w:pStyle w:val="Normal"/>
        <w:numPr>
          <w:ilvl w:val="0"/>
          <w:numId w:val="5"/>
        </w:numPr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организует мониторинг эффективности работы клуба,</w:t>
      </w:r>
    </w:p>
    <w:p>
      <w:pPr>
        <w:pStyle w:val="Normal"/>
        <w:numPr>
          <w:ilvl w:val="0"/>
          <w:numId w:val="5"/>
        </w:numPr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привлекает новых участников в клуб.</w:t>
      </w:r>
    </w:p>
    <w:p>
      <w:pPr>
        <w:pStyle w:val="Normal"/>
        <w:spacing w:lineRule="auto" w:line="360" w:before="120" w:after="120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Каждый член Совета МК ЦЗН отвечает за определенный участок работы клуба (при необходимости – за проведение конкретных мероприятий).</w:t>
      </w:r>
    </w:p>
    <w:p>
      <w:pPr>
        <w:pStyle w:val="Normal"/>
        <w:spacing w:lineRule="auto" w:line="360" w:before="120" w:after="120"/>
        <w:ind w:firstLine="709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Рекомендуется включить в Совет МК ЦЗН (при совпадении профессиональных и личных интересов):</w:t>
      </w:r>
    </w:p>
    <w:p>
      <w:pPr>
        <w:pStyle w:val="Normal"/>
        <w:numPr>
          <w:ilvl w:val="0"/>
          <w:numId w:val="6"/>
        </w:numPr>
        <w:spacing w:lineRule="auto" w:line="360" w:before="120" w:after="120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 ЦЗН (руководителя МК ЦЗН / куратора МК ЦЗН),</w:t>
      </w:r>
    </w:p>
    <w:p>
      <w:pPr>
        <w:pStyle w:val="Normal"/>
        <w:numPr>
          <w:ilvl w:val="0"/>
          <w:numId w:val="6"/>
        </w:numPr>
        <w:spacing w:lineRule="auto" w:line="360" w:before="120" w:after="120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 (ей) основной целевой группы МК ЦЗН,</w:t>
      </w:r>
    </w:p>
    <w:p>
      <w:pPr>
        <w:pStyle w:val="Normal"/>
        <w:numPr>
          <w:ilvl w:val="0"/>
          <w:numId w:val="6"/>
        </w:numPr>
        <w:spacing w:lineRule="auto" w:line="360" w:before="120" w:after="120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 местных политических кругов (например, ВПП «Единая Россия», «Новые люди» и др. - по согласованию),</w:t>
      </w:r>
    </w:p>
    <w:p>
      <w:pPr>
        <w:pStyle w:val="Normal"/>
        <w:numPr>
          <w:ilvl w:val="0"/>
          <w:numId w:val="6"/>
        </w:numPr>
        <w:spacing w:lineRule="auto" w:line="360" w:before="120" w:after="120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 местной некоммерческой организации и / или благотворительного фонда (при наличии), занимающихся решением проблем целевой группы МК ЦЗН (по согласованию),</w:t>
      </w:r>
    </w:p>
    <w:p>
      <w:pPr>
        <w:pStyle w:val="Normal"/>
        <w:numPr>
          <w:ilvl w:val="0"/>
          <w:numId w:val="6"/>
        </w:numPr>
        <w:spacing w:lineRule="auto" w:line="360" w:before="120" w:after="120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 органов социальной защиты населения (по согласованию),</w:t>
      </w:r>
    </w:p>
    <w:p>
      <w:pPr>
        <w:pStyle w:val="Normal"/>
        <w:numPr>
          <w:ilvl w:val="0"/>
          <w:numId w:val="6"/>
        </w:numPr>
        <w:spacing w:lineRule="auto" w:line="360" w:before="120" w:after="120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 органов местного самоуправления (по согласованию),</w:t>
      </w:r>
    </w:p>
    <w:p>
      <w:pPr>
        <w:pStyle w:val="Normal"/>
        <w:numPr>
          <w:ilvl w:val="0"/>
          <w:numId w:val="6"/>
        </w:numPr>
        <w:spacing w:lineRule="auto" w:line="360" w:before="120" w:after="120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 комиссии по делам несовершеннолетних (по согласованию / при совпадении целей работы МК ЦЗН).</w:t>
      </w:r>
    </w:p>
    <w:p>
      <w:pPr>
        <w:pStyle w:val="ListParagraph"/>
        <w:spacing w:lineRule="auto" w:line="360" w:before="120" w:after="120"/>
        <w:ind w:left="709" w:hanging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ascii="Times New Roman" w:hAnsi="Times New Roman"/>
          <w:b/>
          <w:bCs/>
          <w:color w:val="000000" w:themeColor="text1"/>
          <w:sz w:val="28"/>
          <w:szCs w:val="28"/>
        </w:rPr>
        <w:t>Руководитель МК ЦЗН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— представитель молодежного актива.</w:t>
      </w:r>
    </w:p>
    <w:p>
      <w:pPr>
        <w:pStyle w:val="Normal"/>
        <w:shd w:val="clear" w:color="auto" w:fill="FFFFFF"/>
        <w:spacing w:lineRule="auto" w:line="360" w:before="120" w:after="120"/>
        <w:ind w:firstLine="708"/>
        <w:jc w:val="both"/>
        <w:textAlignment w:val="baseline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Руководитель клуба занимается операционными задачами, связанными с организацией клубных мероприятий и взаимодействием с членами МК ЦЗН (в т.ч. организует сбор обратной связи).</w:t>
      </w:r>
    </w:p>
    <w:p>
      <w:pPr>
        <w:pStyle w:val="Normal"/>
        <w:shd w:val="clear" w:color="auto" w:fill="FFFFFF"/>
        <w:spacing w:lineRule="auto" w:line="360" w:before="120" w:after="120"/>
        <w:ind w:firstLine="708"/>
        <w:jc w:val="both"/>
        <w:textAlignment w:val="baseline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Он должен быть настроен на создание и поддержание постоянной коммуникации между всеми членами клуба (отвечать на вопросы, реагировать на негатив, поддерживать диалоги в публичных чатах и личных сообщениях), на развитие в МК ЦЗН благоприятной атмосферы.</w:t>
      </w:r>
    </w:p>
    <w:p>
      <w:pPr>
        <w:pStyle w:val="Normal"/>
        <w:spacing w:lineRule="auto" w:line="360"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/>
          <w:bCs/>
          <w:color w:val="000000" w:themeColor="text1"/>
          <w:sz w:val="28"/>
          <w:szCs w:val="28"/>
        </w:rPr>
        <w:t xml:space="preserve">Куратор от ЦЗН –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специалист ЦЗН, который развивает молодежный клуб.</w:t>
      </w:r>
    </w:p>
    <w:p>
      <w:pPr>
        <w:pStyle w:val="Normal"/>
        <w:spacing w:lineRule="auto" w:line="360"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Куратором предпочтительнее назначать специалиста из числа молодых сотрудников ЦЗН, со стажем работы в ЦЗН не менее 1 года, обладающего следующими деловыми и личностными характеристиками: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хорошо развитые коммуникативные навыки,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глубокое понимание проблем целевой аудитории, в интересах которой создан молодежный клуб, опыт работы с данной аудиторией,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отзывчивость, желание объединять людей и им помогать,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навыки организатора и администратора, настрой на созидательную работу, системность, ответственность.</w:t>
      </w:r>
    </w:p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/>
          <w:bCs/>
          <w:color w:val="000000" w:themeColor="text1"/>
          <w:sz w:val="28"/>
          <w:szCs w:val="28"/>
        </w:rPr>
        <w:t>Член МК ЦЗН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 – участник деятельности клуба, который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разделяет ценности, стандарты взаимодействия, принятые в клубе, 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принимает участие в разработке предложений по работе клуба, в формировании решений и их реализации,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избирает и может быть избранным в Совет клуба,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120" w:after="12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участвует в мероприятиях клуба,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участвует в системе взаимной поддержки членов клуба.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Из актива МК ЦЗН могут быть сформированы отдельные «комитеты» по отдельным направлениям деятельности клуба. Важно вовлечь в формирование повестки и реализацию мероприятий максимальное количество участников.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В работе МК ЦЗН может принимать участие неограниченное количество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сотрудников территориального центра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 занятости (чем больше, тем выше будет его эффективность ввиду высокой вовлеченности специалистов ЦЗН).</w:t>
      </w:r>
    </w:p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 w:eastAsia="Calibri"/>
          <w:b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/>
          <w:bCs/>
          <w:color w:val="000000" w:themeColor="text1"/>
          <w:sz w:val="28"/>
          <w:szCs w:val="28"/>
        </w:rPr>
        <w:t>Партнеры МК ЦЗН</w:t>
      </w:r>
    </w:p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 w:eastAsia="Calibri"/>
          <w:i/>
          <w:i/>
          <w:iCs/>
          <w:color w:val="000000" w:themeColor="text1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В качестве партнеров к работе молодежного клуба на регулярной активной основе могут привлекаться представители различных секторов российского общества. В таблице 1 представлены примеры конкретных организаций, которые могут стать социальными партнерами проекта МК ЦЗН.</w:t>
      </w:r>
    </w:p>
    <w:p>
      <w:pPr>
        <w:pStyle w:val="Normal"/>
        <w:spacing w:lineRule="auto" w:line="360" w:before="120" w:after="120"/>
        <w:ind w:firstLine="708"/>
        <w:jc w:val="right"/>
        <w:rPr>
          <w:rFonts w:ascii="Times New Roman" w:hAnsi="Times New Roman" w:eastAsia="Calibri"/>
          <w:i/>
          <w:i/>
          <w:iCs/>
          <w:color w:val="000000" w:themeColor="text1"/>
        </w:rPr>
      </w:pPr>
      <w:r>
        <w:rPr>
          <w:rFonts w:eastAsia="Calibri" w:ascii="Times New Roman" w:hAnsi="Times New Roman"/>
          <w:i/>
          <w:iCs/>
          <w:color w:val="000000" w:themeColor="text1"/>
        </w:rPr>
        <w:t>Таблица 1.</w:t>
      </w:r>
    </w:p>
    <w:p>
      <w:pPr>
        <w:pStyle w:val="Normal"/>
        <w:spacing w:lineRule="auto" w:line="360" w:before="120" w:after="120"/>
        <w:ind w:firstLine="708"/>
        <w:jc w:val="center"/>
        <w:rPr>
          <w:rFonts w:ascii="Times New Roman" w:hAnsi="Times New Roman" w:eastAsia="Calibri"/>
          <w:i/>
          <w:i/>
          <w:iCs/>
          <w:color w:val="000000" w:themeColor="text1"/>
        </w:rPr>
      </w:pPr>
      <w:r>
        <w:rPr>
          <w:rFonts w:eastAsia="Calibri" w:ascii="Times New Roman" w:hAnsi="Times New Roman"/>
          <w:i/>
          <w:iCs/>
          <w:color w:val="000000" w:themeColor="text1"/>
        </w:rPr>
        <w:t>Примеры организаций социального партнерства</w:t>
      </w:r>
    </w:p>
    <w:tbl>
      <w:tblPr>
        <w:tblStyle w:val="af9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5670"/>
      </w:tblGrid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b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eastAsia="ru-RU" w:bidi="ar-SA"/>
              </w:rPr>
              <w:t>Тип организации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Times New Roman" w:hAnsi="Times New Roman" w:eastAsia="Calibri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Пример конкретной организации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en-US" w:bidi="ar-SA"/>
              </w:rPr>
              <w:t>/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площадки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both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органы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en-US" w:eastAsia="ru-RU" w:bidi="ar-SA"/>
              </w:rPr>
              <w:t xml:space="preserve"> власти 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Федеральное агентство по делам молодежи (Росмолодёжь)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both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федеральные площадки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Таврида (арт-кластер), Территория смыслов (образовательная площадка)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both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молодежные организации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Российский союз молодежи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политические и общественные, некоммерческие организации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Российский союз сельской молодежи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АНО Добровольческий центр «Волонтер»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Общероссийская общественная молодежная патриотическая организация «Наследие»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учебные центры, обучающие организации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Центр развития карьеры студентов РЭУ им. Г.В. Плеханова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Центр развития карьеры НИУ ВШЭ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Региональный студенческий центр «Культурная станция «Гагарин», Красноярский край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Студенческая лига Stand-Up, г. Москва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коммерческие компании – информационные и иные спонсоры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 xml:space="preserve">Всероссийский молодежный медиафорум «LikeMedia», Ярославская область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Медиаканал «Я молод» (#МолодежьЯмала), Ямало-Ненецкий автономный округ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Молодежная газета «Рост» (официально зарегистрированное СМИ), Новосибирская область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Проект «МедиаКрым», Республика Крым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suppressAutoHyphens w:val="true"/>
              <w:spacing w:before="120" w:after="120"/>
              <w:jc w:val="left"/>
              <w:rPr>
                <w:rFonts w:ascii="Times New Roman" w:hAnsi="Times New Roman" w:eastAsia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lang w:val="ru-RU" w:eastAsia="ru-RU" w:bidi="ar-SA"/>
              </w:rPr>
              <w:t>Развитие паблика Вконтакте «Молодежь Нижегородской области», Нижегородская область</w:t>
            </w:r>
          </w:p>
        </w:tc>
      </w:tr>
    </w:tbl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Роли партнеров (при взаимных договоренностях):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информационное, экспертное, консультационное содействие в работе клуба,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участие в мероприятиях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val="en-US" w:eastAsia="ru-RU"/>
        </w:rPr>
        <w:t>,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ресурсное обеспечение (при желании).</w:t>
      </w:r>
    </w:p>
    <w:p>
      <w:pPr>
        <w:pStyle w:val="Normal"/>
        <w:shd w:val="clear" w:color="auto" w:fill="FFFFFF"/>
        <w:spacing w:lineRule="auto" w:line="360"/>
        <w:ind w:left="36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szCs w:val="28"/>
          <w:shd w:fill="FFFFFF" w:val="clear"/>
        </w:rPr>
      </w:pPr>
      <w:bookmarkStart w:id="10" w:name="__RefHeading___Toc1654_1131526044"/>
      <w:bookmarkStart w:id="11" w:name="_Toc149324112"/>
      <w:bookmarkEnd w:id="10"/>
      <w:r>
        <w:rPr>
          <w:rFonts w:ascii="Times New Roman" w:hAnsi="Times New Roman"/>
          <w:color w:val="000000" w:themeColor="text1"/>
          <w:szCs w:val="28"/>
          <w:shd w:fill="FFFFFF" w:val="clear"/>
        </w:rPr>
        <w:t>Этапы создания МК ЦЗН</w:t>
      </w:r>
      <w:bookmarkEnd w:id="11"/>
      <w:r>
        <w:rPr>
          <w:rFonts w:ascii="Times New Roman" w:hAnsi="Times New Roman"/>
          <w:color w:val="000000" w:themeColor="text1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В данном разделе представлены рекомендации по содержанию и очередности этапов создания МК ЦЗН. Предложения могут быть взяты регионами за основу или творчески переработаны, исходя из конкретных приоритетов региональной молодежной политики, наличия поддержки со стороны федеральных и региональных органов исполнительной власти, наличия адресной партнерской поддержки, а также наработанной практики, возможно, уже созданной инфраструктуры и пр.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Очевидно, что одним из первых пунктов в создании МК при ЦЗН станет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выбор/фокусировка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 приоритетного направления работы с молодежью в регионе.</w:t>
      </w:r>
    </w:p>
    <w:p>
      <w:pPr>
        <w:pStyle w:val="Normal"/>
        <w:spacing w:lineRule="auto" w:line="360" w:before="120" w:after="12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Для этого необходимо понимание </w:t>
      </w:r>
      <w:r>
        <w:rPr>
          <w:rFonts w:ascii="Times New Roman" w:hAnsi="Times New Roman"/>
          <w:color w:val="000000" w:themeColor="text1"/>
          <w:sz w:val="28"/>
          <w:szCs w:val="28"/>
        </w:rPr>
        <w:t>актуальности проблемы занятости молодежи в регионе, а именно: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каков средний возраст экономически активного населения в регионе,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каково соотношение численности незанятой (и потенциально незанятой молодежи) и вакансий в регионе,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каковы особенности структуры регионального рынка труда.</w:t>
      </w:r>
    </w:p>
    <w:p>
      <w:pPr>
        <w:pStyle w:val="ListParagraph"/>
        <w:spacing w:lineRule="auto" w:line="360"/>
        <w:ind w:left="708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Затем следует: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определить целевую группу, а именно, на какую категорию молодежи ориентирован проект, оптимальное количество целевых групп (3-5);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определить портрет представителя целевой группы, его боли и потребности, сформировать адресное предложение, способствующее вовлечению в проект МК ЦЗН;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сформулировать миссию, цели и задачи МК ЦЗН, порядок взаимодействия с ЦЗН, права и обязанности, эмблему и символику;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сформировать показатели эффективности деятельности МК ЦЗН;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назначить куратора проекта от ЦЗН, предварительно определив функционал, компетенции и требования (стаж работы, пройденное обучение в ЦЗН, например, по программе «Клиентоцентричность», «Информационное обеспечение деятельности.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PR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» и пр., а также условия работы в проекте МК ЦЗН);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сформировать план деятельности МК ЦЗН на определенный срок, определить ответственность, обозначить контрольные точки и промежуточные результаты; сформировать график регулярных встреч с подведением промежуточных итогов и корректировкой планов и мероприятий;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спланировать формирование регулярных отчетов по результатам выполнения плана, достижению показателей эффективности для выводов и корректировки деятельности;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определить круг социальных партнеров и сформировать для них персонализированное предложение, способствующее вовлечению в проект МК ЦЗН;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сформировать пул стейкхолдеров и опинион-лидеров (из числа представителей ЦЗН, РОИВ, партнерских организаций и работодателей, а также целевой группы), помогающих вовлечь целевые группы молодежи и запустить работу МК ЦЗН;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 необходимости определить юридический статус МК при ЦЗН (МК может работать и без юридического статуса);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 необходимости предусмотреть бюджетирование деятельности (источник, регулярность финансирования).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Работая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>над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проектом создания МК при ЦЗН, рекомендуем заполнить матрицу ответственности за реализацию этапов создания МК ЦЗН. Форма матрицы представлена в таблице 2.</w:t>
      </w:r>
    </w:p>
    <w:p>
      <w:pPr>
        <w:pStyle w:val="Normal"/>
        <w:spacing w:lineRule="auto" w:line="360"/>
        <w:ind w:firstLine="42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2.</w:t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Матрица ответственности за реализацию этапов создания МК ЦЗН</w:t>
      </w:r>
    </w:p>
    <w:tbl>
      <w:tblPr>
        <w:tblStyle w:val="af9"/>
        <w:tblW w:w="9293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430"/>
        <w:gridCol w:w="3510"/>
        <w:gridCol w:w="2063"/>
        <w:gridCol w:w="1302"/>
      </w:tblGrid>
      <w:tr>
        <w:trPr>
          <w:trHeight w:val="292" w:hRule="atLeast"/>
        </w:trPr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Cs w:val="22"/>
                <w:lang w:val="ru-RU" w:bidi="ar-SA"/>
              </w:rPr>
              <w:t>Этап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Cs w:val="22"/>
                <w:lang w:val="ru-RU" w:bidi="ar-SA"/>
              </w:rPr>
              <w:t xml:space="preserve">Действие </w:t>
            </w:r>
          </w:p>
        </w:tc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Cs w:val="22"/>
                <w:lang w:val="ru-RU" w:bidi="ar-SA"/>
              </w:rPr>
              <w:t>Исполнитель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Cs w:val="22"/>
                <w:lang w:val="en-US" w:bidi="ar-SA"/>
              </w:rPr>
              <w:t>/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Cs w:val="22"/>
                <w:lang w:val="ru-RU" w:bidi="ar-SA"/>
              </w:rPr>
              <w:t>соисполнители</w:t>
            </w:r>
          </w:p>
        </w:tc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Cs w:val="22"/>
                <w:lang w:val="ru-RU" w:bidi="ar-SA"/>
              </w:rPr>
              <w:t>Ответственный</w:t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Cs w:val="22"/>
                <w:lang w:val="ru-RU" w:bidi="ar-SA"/>
              </w:rPr>
              <w:t>Сроки</w:t>
            </w:r>
          </w:p>
        </w:tc>
      </w:tr>
      <w:tr>
        <w:trPr>
          <w:trHeight w:val="292" w:hRule="atLeast"/>
        </w:trPr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szCs w:val="28"/>
          <w:shd w:fill="FFFFFF" w:val="clear"/>
        </w:rPr>
      </w:pPr>
      <w:bookmarkStart w:id="12" w:name="__RefHeading___Toc1656_1131526044"/>
      <w:bookmarkStart w:id="13" w:name="_Toc149324113"/>
      <w:bookmarkEnd w:id="12"/>
      <w:r>
        <w:rPr>
          <w:rFonts w:ascii="Times New Roman" w:hAnsi="Times New Roman"/>
          <w:color w:val="000000" w:themeColor="text1"/>
          <w:szCs w:val="28"/>
          <w:shd w:fill="FFFFFF" w:val="clear"/>
        </w:rPr>
        <w:t>Практические рекомендации по организации работы МК ЦЗН</w:t>
      </w:r>
      <w:bookmarkEnd w:id="13"/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Данные рекомендации учитывают демократичную и человекоцентричную природу современных общественных пространств, предлагая молодежному клубу сфокусироваться на конкретных людях, их потребностях и потенциале.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Мы обозначим несколько принципов и рекомендаций, основанных на реальной практике создания общественных объединений, организаций, союзов и пр., целевой аудиторией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которых является молодежь.</w:t>
      </w:r>
    </w:p>
    <w:p>
      <w:pPr>
        <w:pStyle w:val="Normal"/>
        <w:spacing w:lineRule="auto" w:line="360" w:before="0" w:after="0"/>
        <w:ind w:firstLine="426"/>
        <w:contextualSpacing/>
        <w:jc w:val="both"/>
        <w:rPr>
          <w:rFonts w:ascii="Times New Roman" w:hAnsi="Times New Roman" w:cs="F"/>
          <w:b/>
          <w:i/>
          <w:i/>
          <w:color w:val="000000" w:themeColor="text1"/>
          <w:sz w:val="28"/>
          <w:szCs w:val="28"/>
        </w:rPr>
      </w:pPr>
      <w:r>
        <w:rPr>
          <w:rFonts w:cs="F" w:ascii="Times New Roman" w:hAnsi="Times New Roman"/>
          <w:b/>
          <w:color w:val="000000" w:themeColor="text1"/>
          <w:sz w:val="28"/>
          <w:szCs w:val="28"/>
        </w:rPr>
        <w:t>Рекомендация №1: «</w:t>
      </w:r>
      <w:r>
        <w:rPr>
          <w:rFonts w:cs="F" w:ascii="Times New Roman" w:hAnsi="Times New Roman"/>
          <w:b/>
          <w:i/>
          <w:color w:val="000000" w:themeColor="text1"/>
          <w:sz w:val="28"/>
          <w:szCs w:val="28"/>
        </w:rPr>
        <w:t>по возможности создайте открытое и насыщенное пространство».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Пространство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>— неотъемлемая часть клиентского опыта. Важно, чтобы оно было многофункциональным, открытым и привлекательным для вашей аудитории. Это позволит превратить МК ЦЗН в «третье место».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«Третьими местами» называют площадки, где люди могут свободно встречаться и творчески взаимодействовать. «Третьими» они являются потому, что не связаны ни с домом, ни с работой («первыми» и «вторыми» местами). Принято считать, что наличие таких мест значительно улучшает качество жизни в городе, меняет в лучшую сторону эмоциональный климат территории.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Обозначим некоторые характеристики, которые отличают современные, так называемые, «третьи места»: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многофункциональность,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открытость,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комфорт,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эстетика места,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экологичность.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Многофункциональность.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предлагает разнообразные активности и сценарии использования (чем больше, тем лучше), но жестко не регламентирует и не контролирует формат и содержание общения на площадке.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Среда организована таким образом, чтобы меняться под запросы аудитории.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Такой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эффект достигается за счет использования мобильной мебели, шумовых перегородок и нестационарного оборудования.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Открытость.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свободного доступа и приветливость. Открытость площадки для взаимодействия молодых людей, партнеров, работодателей.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Комфорт.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Важно учитывать, какие мелочи могут облегчить жизнь вашей аудитории. Это могут быть розетки для зарядки устройств, у которых можно присесть; детские уголки в зоне видимости родителей; простота получения нужной информации — всё это формирует отношения с посетителем клуба и заставляет его вернуться снова.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Эстетика места. </w:t>
      </w:r>
      <w:r>
        <w:rPr>
          <w:rFonts w:ascii="Times New Roman" w:hAnsi="Times New Roman"/>
          <w:color w:val="000000" w:themeColor="text1"/>
          <w:sz w:val="28"/>
          <w:szCs w:val="28"/>
        </w:rPr>
        <w:t>Дизайн пространства — важная, хотя и не единственная характеристика успешного «третьего места». Единый фирменный стиль создает лаконичную среду, приятную и удобную для восприятия. Эта задача уже успешно решена во многих регионах в рамках проекта модернизации СЗН.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оформления внешней эстетики пространства МК при ЦЗН можно использовать атрибутику вашего молодежного клуба, логотип и эмблему, которые вы разработаете вместе с Советом и членами клуба.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Экологичность.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Многие исследователи считают «поколение Z» (родившиеся после 1996 г. р.) самым экоориентированным поколением.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Сегодня уже недостаточно просто сделать хорошее место, важно понимать, как оно влияет на окружающий мир. Ответственные команды стремятся внедрять раздельный сбор мусора и опасных отходов (батареек), минимизировать использование одноразового пластика, устраивать городские фермы, сбор одежды, фримаркеты и другие апсайкл-форматы. Подобные активности могут помочь не только уменьшить экослед организации, но и привлечь молодую аудиторию.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F"/>
          <w:b/>
          <w:i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Рекомендация №2: </w:t>
      </w:r>
      <w:r>
        <w:rPr>
          <w:rFonts w:cs="F" w:ascii="Times New Roman" w:hAnsi="Times New Roman"/>
          <w:b/>
          <w:i/>
          <w:color w:val="000000" w:themeColor="text1"/>
          <w:sz w:val="28"/>
          <w:szCs w:val="28"/>
        </w:rPr>
        <w:t>«учитывайте особенности трудовой мотивации и ценностные ориентации молодых людей поколения Y (родившиеся с 1981 по 1996гг.)  и поколения Z (родившиеся с 1997—2012 гг.)».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Молодежный клуб должен чутко реагировать на запросы своей аудитории и развиваться вместе с ней. Для этого необходимо учитывать, в том числе психологические особенности молодого поколения: ценности, мотивацию, личностные установки, когнитивные особенности и прочее.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Говоря о психологических особенностях поколения Y, следует отметить гибкость мышления, способность быстрой обработки информации по сравнению с поколением Х, стремление к удовольствиям и духовному росту, внимание к внешности и здоровью, импульсивность в принятии решений (не всегда), ожидание изменений.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Мечты и цели поколения Y таковы: нежелание подниматься с самых низов, как поколение X и потратить всю жизнь на карьеру в какой-то одной области. Это люди, которые хотят результата «здесь и сейчас» и ориентированы на несколько профессий. Люди поколения Y хотят жить для себя и получать удовольствие от жизни, а не просто выполнять программу «институт-работа-брак-дети-пенсия».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Взаимодействуя с ними, лучше помнить, что перед Y нужно ставить конкретные цели и давать им четкое понимание, как их работа скажется на общем результате. Для них важно не количество отработанных часов, а результат, поэтому многим из них нужно давать возможность работать удаленно. Для Y лучше ослабить некоторые правила и сосредоточить их внимание на достижении цели.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Y умеют работать в команде, но хотят, чтобы в них видели личность. Поэтому при работе с ними нужно уметь распознать их внутренние качества и мотиваторы. Под постоянным надзором люди Y могут чувствовать себя неуютно. Y не боятся потерять работу и легче увольняются по собственному желанию, если их что-то не устраивает.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И, конечно, при работе с Y нужно использовать технологические возможности. Интернет и технологии – это часть их повседневной жизни, они прекрасно во всем этом ориентируются.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Поколение Z - это поколение еще очень молодое и пока только формируется, как будущие покупатели и сотрудники. Самым старшим из них около 20 лет. Но важно уже сейчас понять, как с ними взаимодействовать.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Это поколение людей, про которых говорят, что они родились со смартфоном в руках. Они с малых лет окружены гаджетами и разбираются в технологиях еще лучше, чем поколение Y. Они хорошо ориентируются в современном мире и окружающей информации, следят за трендами, быстро понимают, что им интересно и необходимо, а что нет. Их лозунг – «нет ничего невозможного».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Их психологические особенности: повышенное внимание к себе и к своей внешности, коммуникабельность, зависимость от общественного мнения. С другой стороны, среди них много тех, кому вообще все равно, откуда вы, как выглядите и где учились – вы им либо интересны, либо нет. Они не боятся бросить себе вызов и проверить себя «на прочность». Z хотят видеть равенство и отсутствие дискриминации вокруг себя. Они четко видят свое будущее и стремятся быстрее повзрослеть, что проявляется в поведении. Также эти люди умеют мыслить глобально, среди них все больше тех, кто хочет принести пользу миру и обществу, а не только устроить свою жизнь.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Их мечты и цели: для поколения Z важно непрерывное движение и впечатления. Они легко пробуют все новое и быстро переключаются с одного на другое. Люди поколения Z стремятся охватить как можно больше разноплановой информации и получить как можно больше впечатлений. Могут спокойно изучать несколько языков, любят путешествовать и пробовать разные хобби. Среди них много творческих людей.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Z более амбициозны, чем Y, и не боятся вызовов. Взаимодействуя с ними, можно использовать их гибкость, умение отслеживать тренды и тягу к самосовершенствованию. Это люди прекрасно разбираются в новых технологиях.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 как Z все-таки более ориентированы на личное развитие, их умения можно использовать в работе над стартапами или во время запуска новой линейки продуктов и услуг, ориентированных на их поколение.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создании МК ЦЗН, они могут стать вашими адептами и отличными помощниками. Им важно получить опыт и навыки, которые потом пригодятся в их личных проектах или помогут им продвинуться по карьерной лестнице.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Поколение Z живет в эпоху агрессии, финансовой и политической нестабильности, поэтому для них также важна безопасность – как личная, так и кибербезопасность. Они ценят приложения и сервисы, где можно сохранить анонимность.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Рекомендация №3: </w:t>
      </w:r>
      <w:r>
        <w:rPr>
          <w:rFonts w:cs="F" w:ascii="Times New Roman" w:hAnsi="Times New Roman"/>
          <w:b/>
          <w:i/>
          <w:color w:val="000000" w:themeColor="text1"/>
          <w:sz w:val="28"/>
          <w:szCs w:val="28"/>
        </w:rPr>
        <w:t>«собирайте обратную связь членам клуба и партнерам, используйте для этого различные способы».</w:t>
      </w:r>
    </w:p>
    <w:p>
      <w:pPr>
        <w:pStyle w:val="ListParagraph"/>
        <w:numPr>
          <w:ilvl w:val="0"/>
          <w:numId w:val="12"/>
        </w:numPr>
        <w:spacing w:lineRule="auto" w:line="360"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Опросы — разработанные самостоятельно или с привлечением специалистов анкеты, которые могут быть напечатаны на бумаге или разосланы в электронном виде. Наиболее распространенным бесплатным сервисом для создания опросов является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Forms.</w:t>
      </w:r>
    </w:p>
    <w:p>
      <w:pPr>
        <w:pStyle w:val="ListParagraph"/>
        <w:numPr>
          <w:ilvl w:val="0"/>
          <w:numId w:val="12"/>
        </w:numPr>
        <w:spacing w:lineRule="auto" w:line="360"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Интервью — личная беседа, проводимая по строго закрепленному списку вопросов, разработанному заранее и одинаковому для всех опрашиваемых. Используется для получения более полных и глубоких комментариев.</w:t>
      </w:r>
    </w:p>
    <w:p>
      <w:pPr>
        <w:pStyle w:val="ListParagraph"/>
        <w:numPr>
          <w:ilvl w:val="0"/>
          <w:numId w:val="12"/>
        </w:numPr>
        <w:spacing w:lineRule="auto" w:line="360"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Отзывы — анализ отзывов посетителей в открытых источниках, социальных сетях и специальных сервисах.</w:t>
      </w:r>
    </w:p>
    <w:p>
      <w:pPr>
        <w:pStyle w:val="ListParagraph"/>
        <w:numPr>
          <w:ilvl w:val="0"/>
          <w:numId w:val="12"/>
        </w:numPr>
        <w:spacing w:lineRule="auto" w:line="360"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Простые бумажные или электронные анкеты  - они позволяют в 2-3 вопросах охарактеризовать свой опыт взаимодействия с МК. Важно не только реактивно анализировать отзывы, но и предлагать поделиться своим мнением: разместить форму обратной связи в клиентских зонах ЦЗН, на сайте и на страницах в социальных сетях.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Проводя опросы, запрашивая обратную связь и дополнительную информацию, очень важно предоставлять в ответ сведения о том, как эти данные будут использованы, и делиться с аудиторией теми решениями, которые приняты на основе данных, и позитивными изменениями, которые происходят. Для увеличения заинтересованности опрашиваемых можно продумать систему вознаграждений: небольшие подарки, сувениры от ЦЗН.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szCs w:val="28"/>
        </w:rPr>
      </w:pPr>
      <w:bookmarkStart w:id="14" w:name="__RefHeading___Toc1658_1131526044"/>
      <w:bookmarkStart w:id="15" w:name="_Toc149324114"/>
      <w:bookmarkEnd w:id="14"/>
      <w:r>
        <w:rPr>
          <w:rFonts w:ascii="Times New Roman" w:hAnsi="Times New Roman"/>
          <w:color w:val="000000" w:themeColor="text1"/>
          <w:szCs w:val="28"/>
          <w:shd w:fill="FFFFFF" w:val="clear"/>
        </w:rPr>
        <w:t>Принципы</w:t>
      </w:r>
      <w:r>
        <w:rPr>
          <w:rFonts w:ascii="Times New Roman" w:hAnsi="Times New Roman"/>
          <w:color w:val="000000" w:themeColor="text1"/>
          <w:szCs w:val="28"/>
        </w:rPr>
        <w:t xml:space="preserve"> организации и проведения событий и мероприятий в рамках деятельности МК ЦЗН</w:t>
      </w:r>
      <w:bookmarkEnd w:id="15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Разовые события и мероприятия — важный аспект деятельности любого сообщества.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Современные стандарты публичных событий и мероприятий объединяет один ключевой принцип — работа с запросами и особенностями целевой аудитории.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События — это не только праздничные мероприятия с большим охватом участников, но и любые разовые или нерегулярные активности (мастер-классы, лекции, выступления и пр.). При этом можно не только создавать такие мероприятия самостоятельно, но и включаться в различные сетевые акции (Библионочь, Ночь музеев и пр.).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Можно выделить несколько важных принципов построения событийных программ: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«полное погружение» — привлечение будущих участников событий уже на этапе его планирования и разработки (молодым людям важно устанавливать собственные правила и нести ответственность за свой выбор);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пространство коммуникации — создание внутри форматов событийной программы возможностей для знакомства и общения с новыми людьми, в том числе межпоколенческих (молодым людям важно постоянно переопределять и отстаивать свои место и статус);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пространство самореализации — включение в событийные программы форматов для самовыражения и самопрезентации (например, можно предложить придумать собственное событие, отобрать лучшие идеи и воплотить их вместе с командой молодежного клуба);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«культурный супермаркет» — включение в событийные программы новых тем и видов деятельности (молодым людям важно попробовать себя в самых разнообразных культурных, досуговых и образовательных активностях);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соответствие концепции учреждения — любое планируемое событие должно способствовать достижению целей МК ЦЗН, быть в рамках целевых тем и аудиторий (важно проверять на соответствие концепции даже самое небольшое по охвату мероприятие, например, встреча Нового года для сотрудников городского предприятия не найдет отклик у целевой аудитории МК);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привлечение тематических партнеров — не всегда стоит полагаться на свои силы, партнерство — козырь в руках МК ЦЗН;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информационное сопровождение в социальных сетях — зачастую, всё, что не отражено в социальных сетях, «не существует» для молодежной аудитории. Но важно не только переносить в социальные сети анонсы мероприятий, опубликованные на сайте, но и адаптировать их под формат (например, запускать тематические конкурсы, сториз с процессом подготовки, «для тех, кто не может ни дня прожить без саморазвития....» вместо «уважаемые друзья, приглашаем всех заинтересованных на лекцию...» и пр.).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Приведем примеры мероприятий для молодежи, которые проводят ЦЗН в разных субъектах РФ.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таблице 3 представлены примеры мероприятий, которые проводятся в регионах для молодежи.</w:t>
      </w:r>
    </w:p>
    <w:p>
      <w:pPr>
        <w:pStyle w:val="Normal"/>
        <w:spacing w:lineRule="auto" w:line="360"/>
        <w:ind w:left="360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3.</w:t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Примеры региональных мероприятий и событий </w:t>
      </w:r>
    </w:p>
    <w:tbl>
      <w:tblPr>
        <w:tblStyle w:val="23"/>
        <w:tblW w:w="906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1282"/>
        <w:gridCol w:w="5096"/>
        <w:gridCol w:w="1553"/>
      </w:tblGrid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Субъект РФ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Событие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en-US" w:bidi="ar-SA"/>
              </w:rPr>
              <w:t>/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мероприятие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Описание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Периодичность проведения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Ленинградская область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Старт в карьеру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в формате встречи с сотрудниками КЦ ЛО информирование о рынке труда региона и услугах КЦ ЛО, об актуальной потребности в кадрах ведущих предприятий района, освоение инструментов эффективного поиска работы и трудоустройства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ежегодно</w:t>
            </w:r>
          </w:p>
        </w:tc>
      </w:tr>
      <w:tr>
        <w:trPr>
          <w:trHeight w:val="840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Красноярский край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Открытые двери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проведение экскурсий на предприятия Красноярского края для выпускников образовательных организаций высшего и профессионального звена, ярмарки вакансий, а также мероприятия по обучению выпускников технологиям поиска работы и самопрезентации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ежегодно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Псковская область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Карьера-2023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профориентационная акция, организатором которой выступает областной ЦЗН, направлена на помощь подросткам в профориентации и в поиске работы на время каникул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ежегодно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Тамбовская область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Пульт управления карьерой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психологи-профконсультанты готовят молодых людей к встрече с потенциальным работодателем в формате «Быстрые свидания с работой». Для молодежи разработаны различные мастер-классы, которые помогают им в построении профессиональной карьеры.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в течение года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Тульская область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Региональный форум взаимодействие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форум «ВзаимоДействие» - это альтернатива для уже традиционной «Ярмарки вакансий». Проводятся для молодых соискателей и работодателей В непринужденной обстановке на шести площадках для студентов проводятся лекции, обучение грамотному составлению резюме, проведение мастер-классов по самозанятости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ежегодно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Архангельская область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«Профессию выбираю, нужную Поморскому краю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помощь молодежи в профессиональном самоопределении и последующем трудоустройстве на предприятия значимых отраслей региона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ежегодно</w:t>
            </w:r>
          </w:p>
        </w:tc>
      </w:tr>
      <w:tr>
        <w:trPr>
          <w:trHeight w:val="1729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Вологодская область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«После ВУЗа – домой»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программа направлена на снижение миграционного оттока за пределы Вологодчины, выпускникам учебных заведений гарантированы собеседования с работодателем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в течение года</w:t>
            </w:r>
          </w:p>
        </w:tc>
      </w:tr>
      <w:tr>
        <w:trPr>
          <w:trHeight w:val="1729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Ивановская область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Информирование о положении на рынке труда в Ивановской области</w:t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программа предполагает подготовку и издание справочных и информационных материалов для населения и работодателей, оформление наглядной агитации, изготовление или аренда рекламных щитов, тиражирование рекламно-информационных материалов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в течение года</w:t>
            </w:r>
          </w:p>
        </w:tc>
      </w:tr>
      <w:tr>
        <w:trPr>
          <w:trHeight w:val="1729" w:hRule="atLeast"/>
          <w:cantSplit w:val="true"/>
        </w:trPr>
        <w:tc>
          <w:tcPr>
            <w:tcW w:w="113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>Ямало-Ненецкий автономный округ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«Ориентир: ЯМАЛ» «Капитал молодого специалиста» «Еду на Ямал»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5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в регионе реализуется сразу три проекта, направленных на возвращение на Ямал перспективных уроженцев, выпускников ведущих вузов страны и опытных кадров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lang w:val="ru-RU" w:bidi="ar-SA"/>
              </w:rPr>
              <w:t>в течение года</w:t>
            </w:r>
          </w:p>
        </w:tc>
      </w:tr>
    </w:tbl>
    <w:p>
      <w:pPr>
        <w:pStyle w:val="Normal"/>
        <w:spacing w:lineRule="auto" w:line="360"/>
        <w:ind w:left="360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kern w:val="2"/>
          <w:szCs w:val="28"/>
          <w:shd w:fill="FFFFFF" w:val="clear"/>
        </w:rPr>
      </w:pPr>
      <w:bookmarkStart w:id="16" w:name="__RefHeading___Toc1660_1131526044"/>
      <w:bookmarkStart w:id="17" w:name="_Toc149324115"/>
      <w:bookmarkEnd w:id="16"/>
      <w:r>
        <w:rPr>
          <w:rFonts w:ascii="Times New Roman" w:hAnsi="Times New Roman"/>
          <w:color w:val="000000" w:themeColor="text1"/>
          <w:kern w:val="2"/>
          <w:szCs w:val="28"/>
          <w:shd w:fill="FFFFFF" w:val="clear"/>
        </w:rPr>
        <w:t>Показатели эффективности деятельности МК ЦЗН</w:t>
      </w:r>
      <w:bookmarkEnd w:id="17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мониторинга работы молодежного клуба на базе ЦЗН могут быть использованы следующие критерии: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большинство членов клуба активно участвуют в работе и имеют свои роли;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регулярно проводятся встречи членов клуба и лидеров, сопровождающиеся активными и живыми обсуждениями, а также принятыми решениями;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течение года организуются и проводятся разнообразные мероприятия;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запланированные мероприятия проводятся в срок;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членов и партнеров молодежного клуба исходит позитивная обратная связь о взаимодействии внутри МК ЦЗН и по результатам регулярных опросов удовлетворенности и лояльности.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измеряемым критериям можно отнести следующие: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увеличение показателя индекса удовлетворенности/лояльности (CSI/NPS) членов МК ЦЗН и партнеров по отношению к предыдущим результатам анкетирования;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соотношение количества запланированных и реально проведенных мероприятий в рамках деятельности МК ЦЗН;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увеличение количества обратившихся в ЦЗН граждан из числа молодежи по отношению к предыдущему отчетному периоду;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соотношение количества оказанных услуг в интересах молодежи в ЦЗН в новом отчетном периоде и предыдущем соотношение количества трудоустроенных граждан из числа молодежи и обратившихся в ЦЗН за отчетный период;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увеличение количества обученных/прошедших стажировки/ трудоустроенных на временные работы/прошедших профориентацию и прочее по сравнению с предыдущим отчетным периодом;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увеличение количества членов МК ЦЗН (привлеченных представителей ЦГ) по сравнению с предыдущим отчетным периодом;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соотношение количества привлеченных партнеров МК ЦЗН в новом отчетном периоде и предыдущем.</w:t>
      </w:r>
    </w:p>
    <w:p>
      <w:pPr>
        <w:pStyle w:val="Normal"/>
        <w:spacing w:lineRule="auto" w:line="360" w:before="0" w:after="0"/>
        <w:ind w:left="708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Style29"/>
        <w:numPr>
          <w:ilvl w:val="1"/>
          <w:numId w:val="2"/>
        </w:numPr>
        <w:spacing w:lineRule="auto" w:line="360" w:before="0" w:after="0"/>
        <w:rPr>
          <w:rFonts w:ascii="Times New Roman" w:hAnsi="Times New Roman"/>
          <w:color w:val="000000" w:themeColor="text1"/>
          <w:kern w:val="2"/>
          <w:szCs w:val="28"/>
          <w:shd w:fill="FFFFFF" w:val="clear"/>
        </w:rPr>
      </w:pPr>
      <w:bookmarkStart w:id="18" w:name="__RefHeading___Toc1662_1131526044"/>
      <w:bookmarkStart w:id="19" w:name="_Toc149324116"/>
      <w:bookmarkEnd w:id="18"/>
      <w:r>
        <w:rPr>
          <w:rFonts w:ascii="Times New Roman" w:hAnsi="Times New Roman"/>
          <w:color w:val="000000" w:themeColor="text1"/>
          <w:kern w:val="2"/>
          <w:szCs w:val="28"/>
          <w:shd w:fill="FFFFFF" w:val="clear"/>
        </w:rPr>
        <w:t>Поддержка МК ЦЗН на федеральном уровне</w:t>
      </w:r>
      <w:bookmarkEnd w:id="19"/>
      <w:r>
        <w:rPr>
          <w:rFonts w:ascii="Times New Roman" w:hAnsi="Times New Roman"/>
          <w:color w:val="000000" w:themeColor="text1"/>
          <w:kern w:val="2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качестве поддержки проектов создания молодежных клубов при ЦЗН в субъектах РФ мы предлагаем следующие возможности, которые ЦЗН могут использовать в качестве методических и информационных ресурсов в своей работе: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документ, содержащий методические рекомендации по созданию молодежных клубов при ЦЗН;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агрегирование информации о форматах работы центров занятости в интересах молодежи и создание специальной тематической рубрики в еженедельном дайджесте «СЗН-Пульс»;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запуск тематической страницы, посвященной работе молодежных клубов при ЦЗН, на сайте мой-ресурс.рф;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и проведение экспертных сессий на федеральных площадках (ВНОТ, Форум Труда, Таврида, Территория смыслов и др.): обмен опытом;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участие в мероприятиях, организуемых партнерами по молодежной тематике;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координация и синхронизация деятельности МК при ЦЗН в субъектах РФ; 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cs="F"/>
          <w:color w:val="000000" w:themeColor="text1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развитие корпоративной базы региональных решений в рамках проекта МК ЦЗН.</w:t>
      </w:r>
    </w:p>
    <w:p>
      <w:pPr>
        <w:pStyle w:val="Normal"/>
        <w:rPr>
          <w:rFonts w:cs="F"/>
          <w:color w:val="000000" w:themeColor="text1"/>
        </w:rPr>
      </w:pPr>
      <w:r>
        <w:rPr>
          <w:rFonts w:cs="F"/>
          <w:color w:val="000000" w:themeColor="text1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57"/>
        <w:ind w:left="0" w:hanging="0"/>
        <w:jc w:val="left"/>
        <w:outlineLvl w:val="0"/>
        <w:rPr>
          <w:rFonts w:ascii="Times New Roman" w:hAnsi="Times New Roman" w:eastAsia="等线 Light" w:eastAsiaTheme="majorEastAsia"/>
          <w:b/>
          <w:bCs/>
          <w:color w:val="000000" w:themeColor="text1"/>
          <w:kern w:val="2"/>
          <w:sz w:val="28"/>
          <w:szCs w:val="28"/>
        </w:rPr>
      </w:pPr>
      <w:bookmarkStart w:id="20" w:name="__RefHeading___Toc1664_1131526044"/>
      <w:bookmarkEnd w:id="20"/>
      <w:r>
        <w:rPr>
          <w:rFonts w:eastAsia="等线 Light" w:ascii="Times New Roman" w:hAnsi="Times New Roman" w:eastAsiaTheme="majorEastAsia"/>
          <w:b/>
          <w:bCs/>
          <w:color w:val="000000" w:themeColor="text1"/>
          <w:kern w:val="2"/>
          <w:sz w:val="28"/>
          <w:szCs w:val="28"/>
          <w:shd w:fill="FFFFFF" w:val="clear"/>
          <w:lang w:eastAsia="en-US"/>
        </w:rPr>
        <w:t xml:space="preserve">2. </w:t>
      </w:r>
      <w:bookmarkStart w:id="21" w:name="_Toc149324117"/>
      <w:bookmarkStart w:id="22" w:name="_Toc147129819"/>
      <w:r>
        <w:rPr>
          <w:rFonts w:eastAsia="等线 Light" w:ascii="Times New Roman" w:hAnsi="Times New Roman" w:eastAsiaTheme="majorEastAsia"/>
          <w:b/>
          <w:bCs/>
          <w:color w:val="000000" w:themeColor="text1"/>
          <w:kern w:val="2"/>
          <w:sz w:val="28"/>
          <w:szCs w:val="28"/>
          <w:shd w:fill="FFFFFF" w:val="clear"/>
          <w:lang w:eastAsia="en-US"/>
        </w:rPr>
        <w:t xml:space="preserve">Региональные примеры содействия занятости молодежи,  </w:t>
      </w:r>
      <w:r>
        <w:rPr>
          <w:rFonts w:eastAsia="等线 Light" w:ascii="Times New Roman" w:hAnsi="Times New Roman" w:eastAsiaTheme="majorEastAsia"/>
          <w:b/>
          <w:bCs/>
          <w:color w:val="000000" w:themeColor="text1"/>
          <w:kern w:val="2"/>
          <w:sz w:val="28"/>
          <w:szCs w:val="28"/>
          <w:shd w:fill="FFFFFF" w:val="clear"/>
          <w:lang w:eastAsia="en-US"/>
        </w:rPr>
        <w:t xml:space="preserve">реализованные </w:t>
      </w:r>
      <w:r>
        <w:rPr>
          <w:rFonts w:eastAsia="等线 Light" w:ascii="Times New Roman" w:hAnsi="Times New Roman" w:eastAsiaTheme="majorEastAsia"/>
          <w:b/>
          <w:bCs/>
          <w:color w:val="000000" w:themeColor="text1"/>
          <w:kern w:val="2"/>
          <w:sz w:val="28"/>
          <w:szCs w:val="28"/>
          <w:shd w:fill="FFFFFF" w:val="clear"/>
          <w:lang w:eastAsia="en-US"/>
        </w:rPr>
        <w:t xml:space="preserve">в том числе при участии </w:t>
      </w:r>
      <w:bookmarkEnd w:id="22"/>
      <w:r>
        <w:rPr>
          <w:rFonts w:eastAsia="等线 Light" w:ascii="Times New Roman" w:hAnsi="Times New Roman" w:eastAsiaTheme="majorEastAsia"/>
          <w:b/>
          <w:bCs/>
          <w:color w:val="000000" w:themeColor="text1"/>
          <w:kern w:val="2"/>
          <w:sz w:val="28"/>
          <w:szCs w:val="28"/>
          <w:shd w:fill="FFFFFF" w:val="clear"/>
          <w:lang w:eastAsia="en-US"/>
        </w:rPr>
        <w:t>органов власти в сфере занятости</w:t>
      </w:r>
      <w:bookmarkEnd w:id="21"/>
      <w:r>
        <w:rPr>
          <w:rFonts w:eastAsia="等线 Light" w:ascii="Times New Roman" w:hAnsi="Times New Roman" w:eastAsiaTheme="majorEastAsia"/>
          <w:b/>
          <w:bCs/>
          <w:color w:val="000000" w:themeColor="text1"/>
          <w:kern w:val="2"/>
          <w:sz w:val="28"/>
          <w:szCs w:val="28"/>
          <w:shd w:fill="FFFFFF" w:val="clear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 w:themeColor="text1"/>
          <w:sz w:val="28"/>
          <w:szCs w:val="28"/>
          <w:shd w:fill="FFFFFF" w:val="clear"/>
        </w:rPr>
        <w:t>(вы</w:t>
      </w:r>
      <w:bookmarkStart w:id="23" w:name="_Toc149324118"/>
      <w:r>
        <w:rPr>
          <w:rFonts w:ascii="Times New Roman" w:hAnsi="Times New Roman"/>
          <w:b w:val="false"/>
          <w:bCs w:val="false"/>
          <w:i/>
          <w:iCs/>
          <w:color w:val="000000" w:themeColor="text1"/>
          <w:sz w:val="28"/>
          <w:szCs w:val="28"/>
          <w:shd w:fill="FFFFFF" w:val="clear"/>
        </w:rPr>
        <w:t>борочно)</w:t>
      </w:r>
      <w:bookmarkEnd w:id="23"/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b w:val="false"/>
          <w:color w:val="000000" w:themeColor="text1"/>
          <w:sz w:val="28"/>
          <w:szCs w:val="28"/>
        </w:rPr>
      </w:pPr>
      <w:bookmarkStart w:id="24" w:name="__RefHeading___Toc1666_1131526044"/>
      <w:bookmarkStart w:id="25" w:name="_Toc149324119"/>
      <w:bookmarkEnd w:id="24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Алтайский край</w:t>
      </w:r>
      <w:bookmarkEnd w:id="25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содействию занятости молодежи реализуются в рамках подпрограммы «Совершенствование системы вовлечения молодежи в трудовую деятельность» региональной программы «Развитие молодежной политики в Алтайском крае» (постановление Правительства Алтайского края от 10.04.2020).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целью организации превентивной работы по содействию трудоустройству проводится мониторинг профессиональных намерений выпускников.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2020 года студенты профессиональных образовательных организаций участвуют в реализации мероприятий программы «Карьера в России», в том числе проекта «Предпринимательская деревня».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26" w:name="__RefHeading___Toc1668_1131526044"/>
      <w:bookmarkStart w:id="27" w:name="_Toc149324120"/>
      <w:bookmarkEnd w:id="26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Архангельская область</w:t>
      </w:r>
      <w:bookmarkEnd w:id="27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реализации межведомственного плана мероприятий по профессиональной ориентации и содействию трудоустройству молодежи области на 2021 - 2022 годы ежегодно проводится акция «Профессию выбираю, нужную Поморскому краю».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Она помогает профессиональному выбору молодежи и последующему трудоустройству. В 2021 году участниками акции стали 13 тыс. молодых архангелогородцев.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28" w:name="__RefHeading___Toc1670_1131526044"/>
      <w:bookmarkStart w:id="29" w:name="_Toc149324121"/>
      <w:bookmarkEnd w:id="28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Вологодская область</w:t>
      </w:r>
      <w:bookmarkEnd w:id="29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2021 году в области стартовала программа «После ВУЗа – домой», направленная на снижение миграционного оттока за пределы Вологодчины, а также программа «Профстарт – стажировка для выпускников», предусматривающая, в том числе, гарантированное собеседование с работодателями.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Действует постановление Правительства Вологодской области от 25.02.2019 «Об утверждении Порядка предоставления субсидий на возмещение фактически понесенных 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организации наставничества в период временного трудоустройства выпускников». Работодатель, трудоустроивший выпускника по срочному трудовому договору по направлению службы занятости, получает поддержку в размере одного минимального размера оплаты труда (МРОТ), увеличенного на районный коэффициент и страховые взносы во внебюджетные фонды.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30" w:name="__RefHeading___Toc1672_1131526044"/>
      <w:bookmarkStart w:id="31" w:name="_Toc149324122"/>
      <w:bookmarkEnd w:id="30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Новгородская область</w:t>
      </w:r>
      <w:bookmarkEnd w:id="31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государственной программы «Содействие занятости населения в Новгородской области на 2019-2025 годы», утвержденной постановлением Правительства Новгородской области от 14.06.2019, реализуются мероприятия по предоставлению субсидий на возмещение затрат: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оборудование рабочего места для трудоустройства незанятых инвалидов, в том числе молодого возраста;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оплату труда наставников при трудоустройстве незанятых инвалидов молодого возраста;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оборудование рабочих мест для трудоустройства выпускников образовательных учреждений;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связанных с трудоустройством несовершеннолетних по квоте организации, установленной соответствующим областным законом.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b w:val="false"/>
          <w:color w:val="000000" w:themeColor="text1"/>
          <w:sz w:val="28"/>
          <w:szCs w:val="28"/>
        </w:rPr>
      </w:pPr>
      <w:bookmarkStart w:id="32" w:name="__RefHeading___Toc1674_1131526044"/>
      <w:bookmarkStart w:id="33" w:name="_Toc149324123"/>
      <w:bookmarkEnd w:id="32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Новосибирская область</w:t>
      </w:r>
      <w:bookmarkEnd w:id="33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регионе принят комплексный план мер поддержки трудоустройства молодежи – как выпускников учебных, так и всех молодых жителей региона, ищущих работу, а также мер поддержки работодателей, готовых принять молодых специалистов.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числе финансовых мер поддержки – доплаты молодым преподавателям IT-дисциплин, оставшимся работать после окончания обучения в учебном заведении; дополнительные выплаты на конкурсной основе учителям информатики; увеличение контрольных цифр приёма абитуриентов по направлениям IT-специальностей в колледжах и поддержка преподавателей, задействованных в дополнительном образовании.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Финансирование региональной программы занятости почти полностью состоит из средств областного бюджета Новосибирской области.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34" w:name="__RefHeading___Toc1676_1131526044"/>
      <w:bookmarkStart w:id="35" w:name="_Toc149324124"/>
      <w:bookmarkEnd w:id="34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Омская область</w:t>
      </w:r>
      <w:bookmarkEnd w:id="35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Омской области действует программа «Реализации дополнительных мероприятий в области содействия занятости населения по стажировке выпускников профессиональных образовательных организаций и образовательных организаций высшего образования».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Вкупе с соответствующими обязательствами работодателей в региональном трехстороннем соглашении эти меры позволяют привлекать выпускников на предприятия области по нужным для них специальностям.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нацпроекта «Демография» работают различные учебные программы (федерального оператора РАНХиГС, ОмГТУ и 17 колледжей Омска) по переподготовке, повышению квалификации и профобучению.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Это обучение стало доступным не только женщинам в декрете, пенсионерам и безработным, но и молодёжи от 18 до 35 лет, среди которой – не имеющие профессионального образования, завершившие обучение, высвобождаемые работники, отслужившие в Вооруженных силах РФ.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Курсы длятся от 3 недель до 3 месяцев, затем обучающийся получает документ об образовании и трудоустраивается по востребованной профессии. ОмГТУ, например, предлагает 16 направлений обучения. Из них семь — по рабочим профессиям: линейного трубопроводчика, оператора станков, повара, портного и ряду специальностей в сфере ЖКХ.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программе «Ворлдскиллс» 17 омских колледжей предлагают обучение по 37 специальностям. Среди них: веб-технологии, парикмахерское искусство, ремонт и обслуживание авто, соцработа, графический дизайн, электромонтаж, охрана труда. Квота на 2022 год составляет 1200 человек. Согласно закону Омской области от 23 июня 2021 года «О регулировании отношений в сфере молодежной политики на территории Омской области» осуществляются постоянно действующий мониторинг реализации молодежной политики и соответствующий ежегодный доклад о положении дел, включая трудоустройство.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36" w:name="__RefHeading___Toc1678_1131526044"/>
      <w:bookmarkStart w:id="37" w:name="_Toc149324125"/>
      <w:bookmarkEnd w:id="36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Оренбургская область</w:t>
      </w:r>
      <w:bookmarkEnd w:id="37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Ежегодно Министерство труда и занятости населения и центры занятости организуют масштабные профориентационные акции: «Выбор», «Единый День профориентации», «Формула успеха», «День юного предпринимателя», «Полезные каникулы», проводят презентации востребованных профессий, родительский всеобуч «Родителям о профессиях», профориентационные вебинары «Профконтур», мастер-классы «Драйвер безопасности», экскурсии на предприятия, конкурсы среди учащихся на лучший стенд, постер о будущей профессии, опросы старшеклассников о профессиональных предпочтениях и другое.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практику работы вошло проведение практикумов «Профессиональный стартап» со студентами выпускных курсов. На мероприятиях обсуждаются психологические аспекты поиска работы, проводится обучение навыкам проведения собеседования и составления резюме, оказывается юридическая помощь будущим молодым специалистам.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Ярким примером служит проект «Агроклассы», который реализуется в Оренбургской области с 2010 года. Агроклассы – это совместный профориентационный проект Минтруда России, Минобрнауки России и Оренбургского государственного аграрного университета для учащихся старших классов сельских школ, где наряду с основами агрономии и ветеринарии учащихся знакомят с основами предпринимательской деятельности, лучшими практиками ведения бизнеса на селе.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Ежегодно по окончании обучения школьники защищают свои бизнес-проекты. Победители получают сертификаты аграрного университета, которые являются рекомендацией для поступления по целевому набору. Кроме того, аграрный университет начисляет победителям дополнительные баллы при приеме на обучение.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годы реализации проекта в нем приняли участие свыше 4,8 тыс. учащихся из 40 сельских школ области, подготовлено более 670 бизнес-планов. В 2021/2022 учебном году программу «Введение в агробизнес» осваивал 621 учащийся из 40 школ, расположенных в 22 районах области.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Оренбургский областной детско-юношеский многопрофильный центр реализует 34 программы: «Юный техник», «Введение в агробизнес», «Сварочное производство», «Юный часовщик», «Профессия портной», «Росток», «Энерджиквантум», «Медиаквантум», «Мой первый робот в Лего», «Инженерная математика с основами программирования», «Аэроквантум», «Промышленный дизайн», «Поколение ТЕХНО» и другие. В 2021 году были проведены областные профильные смены: «Юный спасатель», «Юный экскурсовод», «Школа безопасности», «Юные аграрии Оренбуржья», «Юные лесники Оренбуржья», «Инженерные каникулы».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38" w:name="__RefHeading___Toc1680_1131526044"/>
      <w:bookmarkStart w:id="39" w:name="_Toc149324126"/>
      <w:bookmarkEnd w:id="38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Самарская область</w:t>
      </w:r>
      <w:bookmarkEnd w:id="39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Самаре действуют два учреждения в сфере молодежной политики, которые занимаются и трудоустройством молодежи: Молодежный центр «Самарский» и «Дом молодежи».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Специалисты этих учреждений организуют информирование о трудоустройстве, взаимодействуют с работодателями по трудоустройству молодежи в рамках местного и областного финансирования, проводят методические консультации по организации временных рабочих мест с выплатой заработной платы за счет средств работодателей.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с сентября по декабрь реализуется городской проект по популяризации рабочих профессий «Кадры» (открытые уроки, встречи с представителями промышленных предприятий, выездные экскурсии на производство и др.).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области организуются пресс-туры на ведущие предприятия региона, трудоустраивающие граждан, а также в образовательные учреждения, обучающие безработных и работающих граждан, с последующим размещением материалов в СМИ. Информация о мероприятиях службы занятости населения, предоставлении государственных услуг размещена в свободном доступе на официальном сайте министерства (trud.samregion.ru), а также для максимального охвата молодежной аудитории на официальных аккаунтах министерства в социальных сетях (ВКонтакте, Одноклассники, Телеграм-канал министерства). В социальной сети в ВКонтакте создано 29 сообществ центров занятости населения области.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проекта «Путевка в профессию. Поддержка безработной молодежи» в Самаре проходит профессиональное обучение молодых людей от 18 до 30 лет по профессиям «пекарь» и «слесарь по ремонту автомобилей». В городе проводятся дни предприятий.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поднятия престижа рабочих профессий и закрепления молодых специалистов на своих рабочих местах в соответствии с законом от 06.07.2015 «О молодом специалисте в Самарской области» предоставляются меры поддержки молодым специалистам, трудоустроенным по полученной востребованной на рынке труда профессии.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в Самарской области успешно функционирует Клуб занятой молодежи. Этот молодежный проект реализуется в партнерстве с партпроектом «Единой России». Это открытая мультиформатная дискуссионная площадка с обучающими и тренинговыми элементами для молодых людей – студентов образовательных организаций.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центре внимания клуба – освещение проблемных вопросов, связанных с планированием карьеры. Успешное трудоустройство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 и стратегия лидерства, психологические нюансы общения с работодателями, анализ рынка труда в Самарской области.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40" w:name="__RefHeading___Toc1682_1131526044"/>
      <w:bookmarkStart w:id="41" w:name="_Toc149324127"/>
      <w:bookmarkEnd w:id="40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г. Санкт-Петербург</w:t>
      </w:r>
      <w:bookmarkEnd w:id="41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Специалисты Службы занятости в работе с молодежью используют следующие информационные ресурсы Интернета: группа Службы занятости «В контакте», Санкт-Петербургский портал по профессиональной ориентации граждан pkp.r21.spb.ru, сайты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postupi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online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proektoria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online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smartia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dv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arctic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labourmarket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ucheba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 w:themeColor="text1"/>
          <w:sz w:val="28"/>
          <w:szCs w:val="28"/>
        </w:rPr>
        <w:t>, игры «профХ», Профессьянс, а также «Атлас новых профессий 3.0».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2021 году в Санкт-Петербурге на площадке исторического парка Санкт- Петербурга «Россия – моя история» прошел фестиваль профессий, на котором были представлены четыре тематические зоны: умный город, социальный город, открытый город и комфортный город. Каждое направление представляло собой небольшую лабораторию, в которой школьники 6-11 классов проходили профессиональные пробы по современным профессиям. В рамках подпрограммы «Профессиональное самоопределение» государственной программы «Содействие занятости населения в Санкт- Петербурге», утвержденной постановлением Правительства Санкт-Петербурга от 17.06.2014, при поддержке холдинга «Ленполиграфмаш» на базе Центра молодежного инновационного творчества реализуется проект практической профессиональной ориентации в целях развития навыков научно-технического 10 творчества.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период 2015-2021 гг. в проекте приняли участие более 1000 учащихся общеобразовательных организаций и профессиональных образовательных организаций. В городе работает Молодежная биржа труда.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42" w:name="__RefHeading___Toc1684_1131526044"/>
      <w:bookmarkStart w:id="43" w:name="_Toc149324128"/>
      <w:bookmarkEnd w:id="42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Сахалинская область</w:t>
      </w:r>
      <w:bookmarkEnd w:id="43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регионе действуют законы: «О квотировании рабочих мест для трудоустройства отдельных категорий молодежи в Сахалинской области» от 24 декабря 2012 г. – рассчитан на нуждающихся в социальной защите и испытывающих трудности в поиске работы граждан в возрасте от 16 до 30 лет, имеющих среднее профессиональное и (или) высшее образование, впервые ищущих работу по полученной профессии; «О денежных пособиях молодым специалистам в Сахалинской области» от 31 марта 2010 г., причем в сельской местности, размер денежного пособия увеличивается на коэффициент 1,25. Пособия ежегодно индексируются.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единовременной денежной выплаты молодым специалистам полагается ежемесячная надбавка и другие льготы. Например, в школах – в течение 3 лет устанавливается надбавка к должностному окладу с учетом фактически отработанного времени, ставке заработной платы с учетом объема фактической педагогической работы или учебной (преподавательской) работы в размере 40%. Педагогам выделяются служебные квартиры. При отсутствии жилищного фонда полагается полная или частичная компенсация педагогическим работникам оплаты коммерческого найма жилого помещения, компенсация расходов на оплату жилых помещений и коммунальных услуг проживающим и работающим в сельской местности, полная или частичная компенсация проезда к месту работы и обратно.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квотирования после окончания учебного заведения молодой специалист обращается в службу занятности. Между ним, работодателем и Агентством по труду и занятости населения заключается договор на 6 месяцев. Этот срок дает возможность молодому специалисту наработать профессиональный стаж и получить предложение от работодателя о продлении трудового договора.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области практикуется «Комплекс мер, направленных на развитие региональной профориентационной среды в Сахалинской области». Например, в школах открываются классы нефтегазовой (и другой) направленности, которые способствовали тому, что дети поступали в местный соответствующий вуз и оставались работать на проектах Сахалин-1, Сахалин-2.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Почти 300 студентов вузов и средних профессиональных учебных заведений Сахалина от 18 лет стали участниками молодежных технологических отрядов – нового проекта Агентства по развитию человеческого капитала региона при поддержке Агентства развития профессионального мастерства (Ворлдскиллс Россия), а также Министерства образования и Агентства по делам молодежи области.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Активное участие в его реализации оказывает штаб молодежной общероссийской общественной организации «Российские студенческие отряды» (РСО) по Дальневосточному федеральному округу. В свободное от учебы время 11 студенты могут попробовать свои силы непосредственно на предприятиях в таких сферах, как строительство, сельское хозяйство, рыбопереработка, нефтегазовая отрасль, поработать в сервисных отрядах сферы туризма или вожатыми. Эти направления определены сезонными кадровыми потребностями сахалинских компаний. Заключаются договора с работодателями об организации и создании условий для производственной (педагогической) преддипломной практики в соответствии с квалификационными требованиями к специалистам в области искусства и культуры, включая оказание методической и практической помощи студентам. Предоставляется финансовая поддержка в виде грантов индивидуальным предпринимателям в возрасте до 35 лет, включенным в реестр социальных предприятий.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44" w:name="__RefHeading___Toc1686_1131526044"/>
      <w:bookmarkStart w:id="45" w:name="_Toc149324129"/>
      <w:bookmarkEnd w:id="44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Республика Татарстан</w:t>
      </w:r>
      <w:bookmarkEnd w:id="45"/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программы "Содействие занятости населения Республики Татарстан на 2014 – 2025 годы" действует подпрограмма популяризации рабочих профессий с финансированием из средств федерального бюджета и из бюджета Республики Татарстан.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предприятиях Республики действует более 120 организаций по работе с молодежью, которые координирует Региональная общественная организация «Союз молодежи предприятий и организаций Республики Татарстан».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Реализуется республиканская Концепция развития потенциала молодежи.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Заслуживают внимание республиканские мероприятия: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конкурс «Молодой рационализатор и изобретатель Республики Татарстан»;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конкурс «Лучшее молодежное объединение предприятий и организаций Республики Татарстан»;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открытый форум работающей молодежи предприятий и организаций Республики «Кадры решают все!».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46" w:name="__RefHeading___Toc1688_1131526044"/>
      <w:bookmarkStart w:id="47" w:name="_Toc149324130"/>
      <w:bookmarkEnd w:id="46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Тверская область</w:t>
      </w:r>
      <w:bookmarkEnd w:id="47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Ежегодно областной штаб студенческих трудовых отрядов, действующий при Комитете по делам молодежи области, формирует студенческие трудовые отряды. Данная работа проводится и в ряде других субъектов Российской Федерации, однако в Тверской области интересен опыт в части многообразия направлений работы стройотрядов: 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социальные отряды помогают нуждающимся людям по хозяйству, оказывают всевозможную помощь детским домам;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отряды по благоустройству ремонтируют и красят детские площадки, убирают мусор, выезжают с трудовым десантом для оказания посильной помощи в уборке храмов;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сервисные отряды работают в пансионатах, санаториях и отелях на Черноморском побережье;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сельскохозяйственные отряды работают на уборке урожая;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биологические отряды занимаются озеленением, высадкой растений, деревьев, кустарников;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педагогические отряды;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вожатые в детских лагерях;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отряды проводников пассажирских вагонов.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Такая практика позволяет организовать временные рабочие места для значительного числа молодежи.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48" w:name="__RefHeading___Toc1690_1131526044"/>
      <w:bookmarkStart w:id="49" w:name="_Toc149324131"/>
      <w:bookmarkEnd w:id="48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Ямало-Ненецкий административный округ</w:t>
      </w:r>
      <w:bookmarkEnd w:id="49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Центры занятости Ямало-Ненецкого административного округа активно привлекают высококвалифицированных специалистов из числа молодых специалистов для работы в регионе.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регионе реализуется сразу три проекта, направленных на возвращение на Ямал перспективных уроженцев, выпускников ведущих вузов страны и опытных кадров. Для этого разработаны и действуют целевые меры поддержки: стимулирующие выплаты, различные жилищные программы, расширенные социальные пакеты при трудоустройстве.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 «Ориентир: ЯМАЛ» направлен на комплексное сопровождение школьников-медалистов и студентов, обучающихся в вузах Москвы, Санкт-Петербурга, Екатеринбурга, Томской и Тюменской областей. С перспективной молодёжью ведется персональная работа, направленная на то, чтобы подающие надежды выпускники по окончании учебных заведений возвращались на работу в родной регион. За каждым закреплен карьерный консультант. Он оказывает помощь в прохождении учебной практики или стажировки, подбирает рабочее место с учетом пожеланий будущего выпускника, организует участие в региональных и муниципальных мероприятиях по профилю обучения.</w:t>
        <w:br/>
        <w:t xml:space="preserve">Проект реализуется с 2021 года. За это время на Ямал после успешного окончания вузов вернулись и трудоустроились 32 выпускника. На текущий момент на сопровождении у специалистов службы занятости находятся 45 студентов.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проекта «Капитал молодого специалиста» проходит целевое трудоустройство молодых сотрудников с одновременной поддержкой работодателей. Выпускник получает специальный сертификат, дающий ему право трудоустроиться без испытательного срока. Работодатель в свою очередь получает из бюджета частичное возмещение расходов на оплату труда такого специалиста. В течение полу года предприятие получает за каждого сотрудника «с приданным» субсидию в 30 тысяч рублей плюс сумму уплаченных работодателем страховых взносов. В 2022 году в рамках проекта сертификатами было трудоустроено 17 кандидатов, в 2023 году – 4 человека.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 «Еду на Ямал» - это информационная кампания по презентации студентам тюменских вузов и ссузов Ямала, как привлекательной территории для самореализации. Сотрудники центров занятости проводят онлайн- и офлайн-встречи с будущими выпускниками, рассказывают и доказывают на реальных примерах, что у молодых специалистов на Ямале есть безграничные возможности для карьеры и все ресурсы на реализации масштабных проектов.</w:t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1"/>
        <w:spacing w:lineRule="auto" w:line="36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bookmarkStart w:id="50" w:name="__RefHeading___Toc1692_1131526044"/>
      <w:bookmarkStart w:id="51" w:name="_Toc149324132"/>
      <w:bookmarkEnd w:id="50"/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Ярославская область</w:t>
      </w:r>
      <w:bookmarkEnd w:id="51"/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Вопросы занятости молодёжи нашли отражение в целом ряде региональных программ: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"Содействие занятости населения Ярославской области" на 2020-2025 годы (постановление Правительства области от 30.01.2020);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"Развитие образования в Ярославской области" на 2021-2024 годы (постановление Правительства области от 30.03.2021);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"Экономическое развитие и инновационная экономика в Ярославской области" на 2021 - 2025 годы (постановление Правительства области от 16.02.2021);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"Развитие молодежной политики и патриотическое воспитание в Ярославской области" на 2021 - 2025 годы (постановлением Правительства области от 31.03.2021);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"Развитие сельского хозяйства в Ярославской области" на 2021-2025 годы (постановление Правительства области от 30.03.2021).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Значимый акцент в профориентационной работе делается на превентивных мерах по предотвращению безработицы среди молодежи. Прежде всего, это работа с выпускниками общеобразовательных организаций и профессиональных образовательных организаций, несовершеннолетними гражданами.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этом актуальной формой взаимодействия с гражданами является организация и проведение для учащихся 9 - 11-х классов массовых профориентационных мероприятий, таких, как: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"Дни профессионального образования",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"Ярмарки учебных мест",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"Скажи профессии: "Да!".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областной целевой программы "Развитие агропромышленного комплекса Ярославской области" на 2014-2022 годы в соответствии с постановлением Правительства области от 10.09.2020 "Об утверждении Порядка предоставления единовременной компенсационной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области" молодые специалисты получают соответствующие выплаты.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содействия занятости несовершеннолетних граждан в возрасте от 14 до 18 лет в Ярославской области принят Закон Ярославской области от 2 апреля 2019 г. "О квотировании рабочих мест для трудоустройства несовершеннолетних граждан в Ярославской области"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Квота устанавливается для юридических лиц независимо от организационно-правовых форм и форм собственности и индивидуальных предпринимателей, осуществляющих деятельность на территории области и имеющих среднесписочную численность работников не менее чем 50 человек, в размере 1 процента от среднесписочной численности работников.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мероприятий областной целевой программы «Модернизация профессионального образования в соответствии с приоритетными направлениями развития экономики Ярославской области» на 2013-2015 годы на территории реализуется проект по созданию и внедрению информационной системы содействия трудоустройству обучающихся (выпускников) профессиональных образовательных организаций, функционально подчиненных департаменту образования Ярославской области.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Технически проект представляет собой региональный ресурс в сети Интернет https://profijump.ru/, который содержит базу резюме выпускников профессиональных образовательных организаций, информацию о вакансиях и предложениях работодателей в регионе.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расширения практики целевого обучения в регионе разработан Комплекс мер по расширению практики заключения органами исполнительной власти, организациями курируемой ими отрасли договоров о целевом обучении со студентами образовательных организаций высшего образования, в том числе расположенных за пределами Ярославской области, на 2021-2024 годы, утвержденный постановлением Правительства области от 12.03.2021.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1"/>
        <w:rPr>
          <w:rFonts w:ascii="Times New Roman" w:hAnsi="Times New Roman" w:eastAsia="等线 Light" w:cs="Times New Roman"/>
          <w:b/>
          <w:bCs/>
          <w:color w:val="000000" w:themeColor="text1"/>
          <w:kern w:val="2"/>
          <w:sz w:val="28"/>
          <w:szCs w:val="28"/>
          <w:shd w:fill="FFFFFF" w:val="clear"/>
          <w:lang w:val="ru-RU" w:eastAsia="en-US" w:bidi="ar-SA"/>
        </w:rPr>
      </w:pPr>
      <w:bookmarkStart w:id="52" w:name="__RefHeading___Toc1704_1131526044"/>
      <w:bookmarkEnd w:id="52"/>
      <w:r>
        <w:rPr>
          <w:rFonts w:eastAsia="等线 Light" w:cs="Times New Roman" w:ascii="Times New Roman" w:hAnsi="Times New Roman"/>
          <w:b/>
          <w:bCs/>
          <w:color w:val="000000" w:themeColor="text1"/>
          <w:kern w:val="2"/>
          <w:sz w:val="28"/>
          <w:szCs w:val="28"/>
          <w:shd w:fill="FFFFFF" w:val="clear"/>
          <w:lang w:val="ru-RU" w:eastAsia="en-US" w:bidi="ar-SA"/>
        </w:rPr>
        <w:t xml:space="preserve">3.  </w:t>
      </w:r>
      <w:bookmarkStart w:id="53" w:name="_Toc149324133"/>
      <w:r>
        <w:rPr>
          <w:rFonts w:eastAsia="等线 Light" w:cs="Times New Roman" w:ascii="Times New Roman" w:hAnsi="Times New Roman"/>
          <w:b/>
          <w:bCs/>
          <w:color w:val="000000" w:themeColor="text1"/>
          <w:kern w:val="2"/>
          <w:sz w:val="28"/>
          <w:szCs w:val="28"/>
          <w:shd w:fill="FFFFFF" w:val="clear"/>
          <w:lang w:val="ru-RU" w:eastAsia="en-US" w:bidi="ar-SA"/>
        </w:rPr>
        <w:t>Актуальные проблемы занятости молодежи</w:t>
      </w:r>
      <w:bookmarkEnd w:id="53"/>
    </w:p>
    <w:p>
      <w:pPr>
        <w:pStyle w:val="Style29"/>
        <w:spacing w:lineRule="auto" w:line="360" w:before="0" w:after="0"/>
        <w:ind w:firstLine="709"/>
        <w:rPr>
          <w:rFonts w:ascii="Times New Roman" w:hAnsi="Times New Roman"/>
          <w:color w:val="000000" w:themeColor="text1"/>
          <w:szCs w:val="28"/>
          <w:shd w:fill="FFFFFF" w:val="clear"/>
        </w:rPr>
      </w:pPr>
      <w:bookmarkStart w:id="54" w:name="__RefHeading___Toc1694_1131526044"/>
      <w:bookmarkStart w:id="55" w:name="_Toc149324134"/>
      <w:bookmarkEnd w:id="54"/>
      <w:r>
        <w:rPr>
          <w:rFonts w:eastAsia="等线 Light" w:ascii="Times New Roman" w:hAnsi="Times New Roman"/>
          <w:b/>
          <w:bCs/>
          <w:color w:val="000000" w:themeColor="text1"/>
          <w:kern w:val="2"/>
          <w:sz w:val="28"/>
          <w:szCs w:val="28"/>
          <w:shd w:fill="FFFFFF" w:val="clear"/>
          <w:lang w:eastAsia="en-US"/>
        </w:rPr>
        <w:t>3.1.</w:t>
        <w:tab/>
        <w:t>Характеристика молодежного рынка т</w:t>
      </w:r>
      <w:r>
        <w:rPr>
          <w:rFonts w:ascii="Times New Roman" w:hAnsi="Times New Roman"/>
          <w:color w:val="000000" w:themeColor="text1"/>
          <w:szCs w:val="28"/>
          <w:shd w:fill="FFFFFF" w:val="clear"/>
        </w:rPr>
        <w:t>руда</w:t>
      </w:r>
      <w:bookmarkEnd w:id="55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Согласно действующему законодательству, для молодых граждан определена возрастная граница от 14 до 35 лет включительно (ФЗ от 30.12.2020 № 489-ФЗ «О молодежной политике в Российской Федерации»).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Однако мы понимаем, что «молодёжь» — это внутренне неоднородная группа. В дальнейшем мы будем различать несколько групп: 14–19 лет, 20–24 года, 25–29 лет и 30-35 лет.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Кроме возрастных границ, основанием для разделения на группы являются следующие факторы: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вид деятельности (основной или преимущественный), например, обучение, трудовая деятельность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социальные роли (например, учащийся, абитуриент, студент, работник)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экономический статус: участие в рабочей силе и отношение к экономически активному населению (активное участие в рабочей силе принимают две категории: 25-29 лет и 30-35 лет)</w:t>
      </w:r>
    </w:p>
    <w:p>
      <w:pPr>
        <w:pStyle w:val="ListParagraph"/>
        <w:numPr>
          <w:ilvl w:val="0"/>
          <w:numId w:val="17"/>
        </w:numPr>
        <w:spacing w:lineRule="auto" w:line="3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психологический статус: установки, мотивы, ценности личности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 таблице 4 представлены основные статусы возрастных групп категории «молодежь».</w:t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Таблица 4.</w:t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Основные статусы возрастных групп в категории «молодёжь»</w:t>
      </w:r>
    </w:p>
    <w:tbl>
      <w:tblPr>
        <w:tblStyle w:val="af9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1843"/>
        <w:gridCol w:w="2126"/>
        <w:gridCol w:w="1845"/>
        <w:gridCol w:w="2404"/>
      </w:tblGrid>
      <w:tr>
        <w:trPr>
          <w:trHeight w:val="511" w:hRule="atLeast"/>
        </w:trPr>
        <w:tc>
          <w:tcPr>
            <w:tcW w:w="11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Возрастная группа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Основная деятельность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Социальная роль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Участие в рабочей силе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Личностная направленность</w:t>
            </w:r>
          </w:p>
        </w:tc>
      </w:tr>
      <w:tr>
        <w:trPr/>
        <w:tc>
          <w:tcPr>
            <w:tcW w:w="11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14–19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учебная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учащийся СОШ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студент ССУЗ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ВУЗ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незанятый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ascii="Times New Roman" w:hAnsi="Times New Roman"/>
                <w:color w:val="000000" w:themeColor="text1"/>
                <w:shd w:fill="FFFFFF" w:val="clear"/>
              </w:rPr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Социализация личности и профессиональное самоопределение</w:t>
            </w:r>
          </w:p>
        </w:tc>
      </w:tr>
      <w:tr>
        <w:trPr/>
        <w:tc>
          <w:tcPr>
            <w:tcW w:w="11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20–24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учебная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студент ССУЗ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ВУЗ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незанятый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en-US" w:bidi="ar-SA"/>
              </w:rPr>
              <w:t>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подработка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Приобретение знаний и стремление к экономич. независимости</w:t>
            </w:r>
          </w:p>
        </w:tc>
      </w:tr>
      <w:tr>
        <w:trPr/>
        <w:tc>
          <w:tcPr>
            <w:tcW w:w="11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25–29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профессиональная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молодой специалист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занятый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 xml:space="preserve">Закрепление проф. выбора, развитие проф.опыта </w:t>
            </w:r>
          </w:p>
        </w:tc>
      </w:tr>
      <w:tr>
        <w:trPr/>
        <w:tc>
          <w:tcPr>
            <w:tcW w:w="11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hd w:fill="FFFFFF" w:val="clear"/>
                <w:lang w:val="ru-RU" w:bidi="ar-SA"/>
              </w:rPr>
              <w:t>30-35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профессиональная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профессионал, эксперт</w:t>
            </w:r>
          </w:p>
        </w:tc>
        <w:tc>
          <w:tcPr>
            <w:tcW w:w="1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занятый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hd w:fill="FFFFFF" w:val="clear"/>
                <w:lang w:val="ru-RU" w:bidi="ar-SA"/>
              </w:rPr>
              <w:t>Развитие экспертной и управленческой карьеры</w:t>
            </w:r>
          </w:p>
        </w:tc>
      </w:tr>
    </w:tbl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Социально-возрастная специфика рынка труда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молодёжи выражается в качественных особенностях рабочей силы подростков, юношей и девушек, что наиболее ярко выражается характеристикой уровня их конкурентоспособности.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 одной стороны, молодёжи объективно свойственна относительно низкая конкурентоспособность. На рынке труда, она обусловлена: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недостатком профессиональных знаний;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отсутствием необходимой квалификации и трудовых навыков;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несформированностью привычки к систематической, регламентируемой работодателем работе;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желанием возможности совмещения труда и учёбы, пользованием рядом льгот, что создает дополнительные проблемы для предприятия и работодателя и делает кандидатуру молодого человека малопривлекательной;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социально-психологическими характеристиками; в т.ч. такими как, стремление к смене рабочего места или профессии, переоценке привязанностей и интересов и даже перемене места жительства.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 другой стороны, молодёжь отличается от более старших поколений рабочей силы следующими позитивными характеристиками: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способность к более быстрой и безболезненной адаптации к изменяющимся внешним условиям жизнедеятельности, в том числе, условиям труда;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динамичностью, гибкостью, стремлением к освоению нового, неизвестного, к самосовершенствованию;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относительно высоким уровнем общего образования, что делает доступными для нее мировые достижения науки и техники, а также информатики и электроники, новые неизвестные ранее профессии;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специфическими психофизиологическими и психологическими качествами: энергичностью, гибкостью, стремлением к самоутверждению.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Эти отличия молодёжи существенно повышают уровень ее конкурентоспособности и выживания в условиях реформ, возникновения рабочих мест, а также возникновения новых форм получения дохода, как, например, предпринимательский доход, пассивный доход, фриланс и т.п.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Молодёжь всегда была и остается драйвером развития социально-экономической системы страны, одной из главных производительных сил, обладающей как высоким трудовым потенциалом, так и социальной и трудовой мобильностью.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Молодёжный рынок труда формируется</w:t>
      </w:r>
      <w:r>
        <w:rPr>
          <w:color w:val="000000" w:themeColor="text1"/>
          <w:sz w:val="28"/>
          <w:szCs w:val="28"/>
        </w:rPr>
        <w:t xml:space="preserve"> молодыми людьми, нуждающимися в трудоустройстве.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Различают, </w:t>
      </w:r>
    </w:p>
    <w:p>
      <w:pPr>
        <w:pStyle w:val="NormalWeb"/>
        <w:numPr>
          <w:ilvl w:val="0"/>
          <w:numId w:val="20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во-первых, незанятую, но ищущую работу;</w:t>
      </w:r>
    </w:p>
    <w:p>
      <w:pPr>
        <w:pStyle w:val="NormalWeb"/>
        <w:numPr>
          <w:ilvl w:val="0"/>
          <w:numId w:val="20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во-вторых, молодёжь занятую, но неудовлетворенную своей работой и озабоченную её переменой или необходимостью дополнительного заработка;</w:t>
      </w:r>
    </w:p>
    <w:p>
      <w:pPr>
        <w:pStyle w:val="NormalWeb"/>
        <w:numPr>
          <w:ilvl w:val="0"/>
          <w:numId w:val="20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в-третьих, ту часть молодёжи, которая находится под угрозой увольнения или сокращения из-за финансового неблагополучия предприятия и подлежит опережающему переобучению и перепрофилированию.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Молодёжный рынок труда систематически пополняется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за счет таких источников как: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выпускники ВУЗов и колледжей, уже сделавшие свой профессиональный выбор, но ещё ищущие своего работодателя – молодые люди (молодые специалисты) 25–29 лет;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(однако не все выпускники учебных заведений ищут работу и попадают на рынок труда, часть из них планирует продолжить образование, другие не трудоустраиваются по иным причинам); 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молодёжь, студенты и молодые люди, которые близки к завершению профессиональной подготовки – молодые люди 18–24 лет;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подростковая группа, ищущая подработку – молодые люди до 18 лет;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рынок труда также пополняется за счет демобилизованных воинов срочной службы;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в последнее время существенным для центральных районов России является приток молодежи за счет трудовых мигрантов.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Внутри рынка труда молодёжи существуют особенности</w:t>
      </w:r>
      <w:r>
        <w:rPr>
          <w:color w:val="000000" w:themeColor="text1"/>
          <w:sz w:val="28"/>
          <w:szCs w:val="28"/>
        </w:rPr>
        <w:t>, вызванные возрастными характеристиками:</w:t>
      </w:r>
    </w:p>
    <w:p>
      <w:pPr>
        <w:pStyle w:val="ListParagraph"/>
        <w:numPr>
          <w:ilvl w:val="0"/>
          <w:numId w:val="22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специфика 16-18- летних заключается в относительно начальном этапе социализации личности и становлении их профессиональной ориентации;</w:t>
      </w:r>
    </w:p>
    <w:p>
      <w:pPr>
        <w:pStyle w:val="ListParagraph"/>
        <w:numPr>
          <w:ilvl w:val="0"/>
          <w:numId w:val="22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для 19-24- летних характерно обладание профессиональным образованием, и ярко выраженным стремлением к экономической самостоятельности;</w:t>
      </w:r>
    </w:p>
    <w:p>
      <w:pPr>
        <w:pStyle w:val="ListParagraph"/>
        <w:numPr>
          <w:ilvl w:val="0"/>
          <w:numId w:val="22"/>
        </w:numPr>
        <w:shd w:val="clear" w:color="auto" w:fill="FFFFFF"/>
        <w:spacing w:lineRule="auto" w:line="360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значительную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долю молодёжи 25-29 лет составляют выпускники высших учебных заведений, они</w:t>
      </w: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закрепляют профессиональный выбор и начинают расти, сменяя должности внутри одной компании или переходя от работодателя к работодателю.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В этот период происходит приобретение и рост профессиональной квалификации, и его можно назвать этапом «экспертного развития карьеры».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 проблемы их занятости в значительной мере заключена в противоречии между условиями начала и конца обучения, а также определённой инертностью системы высшего профессионального образования, из-за чего часть полученных знаний оказывается устаревшей и невостребованной в общественном производстве.</w:t>
      </w:r>
    </w:p>
    <w:p>
      <w:pPr>
        <w:pStyle w:val="ListParagraph"/>
        <w:numPr>
          <w:ilvl w:val="0"/>
          <w:numId w:val="22"/>
        </w:numPr>
        <w:shd w:val="clear" w:color="auto" w:fill="FFFFFF"/>
        <w:spacing w:lineRule="auto" w:line="360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категория в возрасте 30–35 лет — это люди, уже достигшие определенного уровня профессионализма, которые приобрели необходимые профессиональные компетенции, и, многие из которых осваивают новые для себя руководящие роли. Приходит новый этап — этап вертикальной или управленческой карьеры. 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В настоящее время 30–35-летняя молодежь является наиболее высокооплачиваемой группой работников российского рынка труда</w:t>
      </w:r>
      <w:r>
        <w:rPr>
          <w:rStyle w:val="Style6"/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footnoteReference w:id="2"/>
      </w: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.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Высокие зарплаты молодых сотрудников также в значительной степени обусловлены малочисленностью молодого поколения — при снижении предложения труда равновесная заработная плата на рынке устанавливается на более высоком уровне.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Работодатели также высоко ценят новые цифровые компетенции молодежи, ее адаптивность и быстрый рост профессионализма, а также инвестируют в формирование кадрового потенциала для развития.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Итак, молодёжный рынок труда имеет свои специфические особенности. 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360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Неустойчивость спроса и предложения, обусловленная изменчивостью ориентаций молодёжи, её социально-профессиональной неопределенностью.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360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Невысокая конкурентоспособность по сравнению с другими возрастными группами (кроме категории 30-35 –летних). Молодёжь подвергается наибольшему риску потерять работу или не трудоустроиться.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360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Молодёжная занятость имеет явные и скрытые размеры: продолжает увеличиваться группа молодёжи, которая нигде не работает и не учиться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360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Молодёжный рынок труда характеризуется большой вариантностью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обусловлено тем, что на него выходят выпускники учебных заведений, осуществляющих подготовку специалистов по всем возможным профессиям. Отсутствие спроса на региональном рынке труда на многие из них, приводит к тому, что большая часть ищущих работу молодых людей, в том числе недавних выпускников учебных заведений, трудоустраивается по специальностям, крайне далёким от базового образования, для многих переподготовка является единственной возможностью получить работу.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из числа выпускников каждый четвёртый становится потенциальным кандидатом на переобучение или получение второй профессии. Кроме того, пятая часть молодых людей увольняется из-за неудовлетворённости профессией, характером труда уже в первый год работы после окончания учебного заведения.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360"/>
        <w:jc w:val="both"/>
        <w:rPr>
          <w:rFonts w:ascii="Times New Roman" w:hAnsi="Times New Roman" w:eastAsia="NSimSu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Молодежный рынок труда характеризуется высокой динамичностью.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360"/>
        <w:jc w:val="both"/>
        <w:rPr>
          <w:color w:val="000000" w:themeColor="text1"/>
          <w:sz w:val="28"/>
          <w:szCs w:val="28"/>
          <w:shd w:fill="FFFFFF" w:val="clear"/>
        </w:rPr>
      </w:pPr>
      <w:r>
        <w:rPr>
          <w:color w:val="000000" w:themeColor="text1"/>
          <w:sz w:val="28"/>
          <w:szCs w:val="28"/>
          <w:shd w:fill="FFFFFF" w:val="clear"/>
        </w:rPr>
        <w:t xml:space="preserve">Эксперты отмечают меньшие сроки продолжительности безработицы у молодежи и меньшую долю длительно безработных по сравнению с остальным населением. Показатель средней продолжительности безработицы у российской молодежи ниже, чем в целом по безработному населению. </w:t>
      </w:r>
      <w:r>
        <w:rPr>
          <w:color w:val="000000" w:themeColor="text1"/>
          <w:sz w:val="28"/>
          <w:szCs w:val="28"/>
        </w:rPr>
        <w:t>Так, например, в 2021 году, по данным обследования рабочей силы, среднее время поиска работы для молодежи в возрасте 20-29 лет составляло 6,2 месяца, а для молодежи до 25 лет - 4,8 месяца. Для сравнения, среднее время поиска для всех возрастов в 2021 году - 6,8 месяца</w:t>
      </w:r>
      <w:r>
        <w:rPr>
          <w:rStyle w:val="Style6"/>
          <w:color w:val="000000" w:themeColor="text1"/>
          <w:sz w:val="28"/>
          <w:szCs w:val="28"/>
        </w:rPr>
        <w:footnoteReference w:id="3"/>
      </w:r>
      <w:r>
        <w:rPr>
          <w:color w:val="000000" w:themeColor="text1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360"/>
        <w:jc w:val="both"/>
        <w:rPr>
          <w:color w:val="000000" w:themeColor="text1"/>
          <w:sz w:val="28"/>
          <w:szCs w:val="28"/>
          <w:shd w:fill="FFFFFF" w:val="clear"/>
        </w:rPr>
      </w:pPr>
      <w:r>
        <w:rPr>
          <w:color w:val="000000" w:themeColor="text1"/>
          <w:sz w:val="28"/>
          <w:szCs w:val="28"/>
          <w:shd w:fill="FFFFFF" w:val="clear"/>
        </w:rPr>
      </w:r>
    </w:p>
    <w:p>
      <w:pPr>
        <w:pStyle w:val="Style29"/>
        <w:spacing w:lineRule="auto" w:line="360" w:before="0" w:after="0"/>
        <w:ind w:firstLine="709"/>
        <w:rPr>
          <w:rFonts w:ascii="Times New Roman" w:hAnsi="Times New Roman"/>
          <w:color w:val="000000" w:themeColor="text1"/>
          <w:szCs w:val="28"/>
          <w:shd w:fill="FFFFFF" w:val="clear"/>
        </w:rPr>
      </w:pPr>
      <w:bookmarkStart w:id="56" w:name="__RefHeading___Toc1696_1131526044"/>
      <w:bookmarkStart w:id="57" w:name="_Toc149324135"/>
      <w:bookmarkEnd w:id="56"/>
      <w:r>
        <w:rPr>
          <w:rFonts w:ascii="Times New Roman" w:hAnsi="Times New Roman"/>
          <w:color w:val="000000" w:themeColor="text1"/>
          <w:szCs w:val="28"/>
          <w:shd w:fill="FFFFFF" w:val="clear"/>
        </w:rPr>
        <w:t>3.2.</w:t>
        <w:tab/>
        <w:t>Перспективы занятости молодежи</w:t>
      </w:r>
      <w:bookmarkEnd w:id="57"/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По прогнозу рынка труда в ближайшие 10 лет доля возрастной группы от 15 до 29 лет в общей структуре населения будет расти.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К 2030 году в стране – по предварительным подсчетам – будет 8,3 млн граждан в возрасте 20–24-х лет, а в 2035 г. – уже 9,7 млн, это на 2,4 млн больше, чем сейчас. В связи с чем будет расти потребность в трудоустройстве для молодежи.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Хотя рынок труда в России восстановился после пандемии, впереди новые вызовы: поддержка молодежной занятости становится актуальной задачей в условиях роста доли молодых людей в экономике.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Вопрос необходимости повышения молодежной занятости был поднят президентом РФ Владимиром Путиным в июне 2022 г., когда он отметил относительно высокий процент безработицы среди молодых людей.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По данным Минтруда, тогда ее уровень составил 16% против традиционных 14% среди молодежи от 18 до 29 лет. В связи с этим в конце 2021 года по поручению президента была разработана программа содействия молодежной занятости до 2030 года. 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Программа представляет комплекс различных мер поддержки и разделена на четыре направления: формирование карьерных стратегий молодежи под потребности рынка труда, соответствие качества образования требованиям работодателей, создание условий для совмещения учебы с работой или бизнесом, а также создание дополнительных механизмов снижения рисков незанятости молодежи. Реализация программы позволит ежегодно охватывать 380 тыс. человек прямыми и 5 млн. человек косвенными мерами поддержки.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Благодаря программе доля трудоустроенных выпускников вырастет до 85% к 2024 году и до 92% к 2030 году. 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Сегодня, по данным Росстата за март 2022 года, молодежь до 25 лет составляла 18,5% среди общего числа безработных в России (3,1 млн человек по методологии Международной организации труда).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Низкий уровень занятости среди молодежи в возрастной группе 20-25 лет связан с учебой, при этом с 25 лет уровень занятости резко возрастает.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Возрастная группа 25–29 лет является «сверхзанятой» — работает или ищет работу почти 90% ее представителей.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Среди подгруппы 20–24 года, по данным официальной статистики, работает около 50%</w:t>
      </w:r>
      <w:r>
        <w:rPr>
          <w:rStyle w:val="Style6"/>
          <w:rFonts w:ascii="Times New Roman" w:hAnsi="Times New Roman"/>
          <w:color w:val="000000" w:themeColor="text1"/>
          <w:sz w:val="28"/>
          <w:szCs w:val="28"/>
          <w:shd w:fill="FFFFFF" w:val="clear"/>
        </w:rPr>
        <w:footnoteReference w:id="4"/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Спрос на молодую рабочую силу в 2021 г. в целом увеличился на 127% по сравнению с. предыдущим годом, когда совокупный рынок труда вырос всего лишь на 60%. При этом общее количество резюме кандидатов без опыта выросло всего на 16%</w:t>
      </w:r>
      <w:r>
        <w:rPr>
          <w:rStyle w:val="Style6"/>
          <w:rFonts w:ascii="Times New Roman" w:hAnsi="Times New Roman"/>
          <w:color w:val="000000" w:themeColor="text1"/>
          <w:sz w:val="28"/>
          <w:szCs w:val="28"/>
          <w:shd w:fill="FFFFFF" w:val="clear"/>
        </w:rPr>
        <w:footnoteReference w:id="5"/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Высокая востребованность молодых кадров обусловлена, в частности, старением населения: в России численность людей каждого следующего поколения в целом, меньше, чем предыдущего.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В условиях роста напряженности на рынке труда в 2022 г. демографический фактор продолжает работать в пользу поддержки занятости молодых специалистов. </w:t>
      </w:r>
    </w:p>
    <w:p>
      <w:pPr>
        <w:pStyle w:val="Normal"/>
        <w:rPr>
          <w:rFonts w:ascii="Times New Roman" w:hAnsi="Times New Roman" w:eastAsia="NSimSun" w:cs="Lucida Sans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360"/>
        <w:ind w:left="0" w:hanging="0"/>
        <w:jc w:val="right"/>
        <w:outlineLvl w:val="0"/>
        <w:rPr>
          <w:rFonts w:ascii="Times New Roman" w:hAnsi="Times New Roman" w:eastAsia="NSimSun" w:cs="Lucida Sans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bookmarkStart w:id="58" w:name="__RefHeading___Toc1698_1131526044"/>
      <w:bookmarkStart w:id="59" w:name="_Toc149324136"/>
      <w:bookmarkStart w:id="60" w:name="_GoBack"/>
      <w:bookmarkEnd w:id="58"/>
      <w:bookmarkEnd w:id="60"/>
      <w:r>
        <w:rPr>
          <w:rFonts w:eastAsia="NSimSun" w:cs="Lucida Sans" w:ascii="Times New Roman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Приложение</w:t>
      </w:r>
      <w:bookmarkEnd w:id="59"/>
      <w:r>
        <w:rPr>
          <w:rFonts w:eastAsia="NSimSun" w:cs="Lucida Sans" w:ascii="Times New Roman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fill="FFFFFF" w:val="clear"/>
        </w:rPr>
        <w:t>Действующие услуги и сервисы для молодых граждан в государственной службе занятости населения в различных субъектах РФ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Информирование граждан и работодателей о положении на рынке труда в Российской Федерации, правах и гарантиях в области занятости населения и защиты от безработицы.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Содействие гражданам в поиске подходящей работы.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Психологическая поддержка безработных граждан.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Социальная адаптация безработных граждан на рынке труда.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проведения оплачиваемых общественных работ.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Содействие началу осуществления предпринимательской деятельности граждан.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ярмарок вакансий и учебных рабочих мест.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Консультационное и организационное содействие гражданам и работодателям при регистрации на ЕЦП «Работа в России», в сети SkillsNet, на «Онлайнинспекция.рф», поиске, вводе и проверке сведений при использовании сервисов указанных ресурсов.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стажировки.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Проведение обучающих мероприятий, конференций, встреч с участием граждан, работодателей, общественных организаций, организаций, осуществляющих образовательную деятельность, социальных партнеров, других заинтересованных участников рынка труда.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Компенсация расходов, связанных с переездом и трудоустройством в сельской местности (информирование и/или организация получения таких выплат).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Выплаты на строительство/приобретение жилья (информирование и/или организация получения таких выплат).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записи на прием в Пенсионный фонд РФ/Фонд пенсионного и социального страхования.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консультации по правовым вопросам.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Поддержка предпринимательской деятельности.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Организация получения федеральных, региональных и муниципальных выплат и льгот лицам из числа детей-сирот.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360"/>
        <w:jc w:val="both"/>
        <w:rPr>
          <w:rFonts w:ascii="Times New Roman" w:hAnsi="Times New Roman" w:eastAsia="NSimSun" w:cs="Lucida Sans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Lucida Sans" w:ascii="Times New Roman" w:hAnsi="Times New Roman"/>
          <w:color w:val="000000" w:themeColor="text1"/>
          <w:kern w:val="2"/>
          <w:sz w:val="28"/>
          <w:szCs w:val="28"/>
          <w:lang w:eastAsia="zh-CN" w:bidi="hi-IN"/>
        </w:rPr>
        <w:t>Предоставление сведений о трудовой деятельности зарегистрированного лица, содержащихся в его индивидуальном лицевом счете.</w:t>
      </w:r>
    </w:p>
    <w:sectPr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1393263920"/>
      </w:sdtPr>
      <w:sdtContent>
        <w:r>
          <w:rPr/>
        </w:r>
        <w:r>
          <w:rPr/>
          <w:t>PAGE   \* MERGEFORMAT3</w:t>
        </w:r>
      </w:sdtContent>
    </w:sdt>
  </w:p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322422558"/>
      </w:sdtPr>
      <w:sdtContent>
        <w:r>
          <w:rPr/>
        </w:r>
        <w:r>
          <w:rPr/>
          <w:t>PAGE   \* MERGEFORMAT3</w:t>
        </w:r>
      </w:sdtContent>
    </w:sdt>
  </w:p>
  <w:p>
    <w:pPr>
      <w:pStyle w:val="Style3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1759559938"/>
      </w:sdtPr>
      <w:sdtContent>
        <w:r>
          <w:rPr/>
        </w:r>
        <w:r>
          <w:rPr/>
          <w:t>PAGE   \* MERGEFORMAT3</w:t>
        </w:r>
      </w:sdtContent>
    </w:sdt>
  </w:p>
  <w:p>
    <w:pPr>
      <w:pStyle w:val="Style3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jc w:val="both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eastAsia="NSimSun" w:ascii="Times New Roman" w:hAnsi="Times New Roman"/>
          <w:kern w:val="2"/>
          <w:lang w:eastAsia="zh-CN" w:bidi="hi-IN"/>
        </w:rPr>
        <w:t>«Аналитики назвали возраст зарплатного максимума у россиян», Исследования FinExpertiza; 05.07.2022 [Электронный ресурс]. — URL: https://finexpertiza.ru/pr   ess</w:t>
      </w:r>
      <w:r>
        <w:rPr>
          <w:rFonts w:eastAsia="NSimSun" w:ascii="Times New Roman" w:hAnsi="Times New Roman"/>
          <w:kern w:val="2"/>
          <w:lang w:val="en-US" w:eastAsia="zh-CN" w:bidi="hi-IN"/>
        </w:rPr>
        <w:t>service</w:t>
      </w:r>
      <w:r>
        <w:rPr>
          <w:rFonts w:eastAsia="NSimSun" w:ascii="Times New Roman" w:hAnsi="Times New Roman"/>
          <w:kern w:val="2"/>
          <w:lang w:eastAsia="zh-CN" w:bidi="hi-IN"/>
        </w:rPr>
        <w:t>/</w:t>
      </w:r>
      <w:r>
        <w:rPr>
          <w:rFonts w:eastAsia="NSimSun" w:ascii="Times New Roman" w:hAnsi="Times New Roman"/>
          <w:kern w:val="2"/>
          <w:lang w:val="en-US" w:eastAsia="zh-CN" w:bidi="hi-IN"/>
        </w:rPr>
        <w:t>researches</w:t>
      </w:r>
      <w:r>
        <w:rPr>
          <w:rFonts w:eastAsia="NSimSun" w:ascii="Times New Roman" w:hAnsi="Times New Roman"/>
          <w:kern w:val="2"/>
          <w:lang w:eastAsia="zh-CN" w:bidi="hi-IN"/>
        </w:rPr>
        <w:t>/2022/</w:t>
      </w:r>
      <w:r>
        <w:rPr>
          <w:rFonts w:eastAsia="NSimSun" w:ascii="Times New Roman" w:hAnsi="Times New Roman"/>
          <w:kern w:val="2"/>
          <w:lang w:val="en-US" w:eastAsia="zh-CN" w:bidi="hi-IN"/>
        </w:rPr>
        <w:t>vozr</w:t>
      </w:r>
      <w:r>
        <w:rPr>
          <w:rFonts w:eastAsia="NSimSun" w:ascii="Times New Roman" w:hAnsi="Times New Roman"/>
          <w:kern w:val="2"/>
          <w:lang w:eastAsia="zh-CN" w:bidi="hi-IN"/>
        </w:rPr>
        <w:t>-</w:t>
      </w:r>
      <w:r>
        <w:rPr>
          <w:rFonts w:eastAsia="NSimSun" w:ascii="Times New Roman" w:hAnsi="Times New Roman"/>
          <w:kern w:val="2"/>
          <w:lang w:val="en-US" w:eastAsia="zh-CN" w:bidi="hi-IN"/>
        </w:rPr>
        <w:t>zarpl</w:t>
      </w:r>
      <w:r>
        <w:rPr>
          <w:rFonts w:eastAsia="NSimSun" w:ascii="Times New Roman" w:hAnsi="Times New Roman"/>
          <w:kern w:val="2"/>
          <w:lang w:eastAsia="zh-CN" w:bidi="hi-IN"/>
        </w:rPr>
        <w:t>-</w:t>
      </w:r>
      <w:r>
        <w:rPr>
          <w:rFonts w:eastAsia="NSimSun" w:ascii="Times New Roman" w:hAnsi="Times New Roman"/>
          <w:kern w:val="2"/>
          <w:lang w:val="en-US" w:eastAsia="zh-CN" w:bidi="hi-IN"/>
        </w:rPr>
        <w:t>maksimum</w:t>
      </w:r>
      <w:r>
        <w:rPr>
          <w:rFonts w:eastAsia="NSimSun" w:ascii="Times New Roman" w:hAnsi="Times New Roman"/>
          <w:kern w:val="2"/>
          <w:lang w:eastAsia="zh-CN" w:bidi="hi-IN"/>
        </w:rPr>
        <w:t>/</w:t>
      </w:r>
    </w:p>
  </w:footnote>
  <w:footnote w:id="3">
    <w:p>
      <w:pPr>
        <w:pStyle w:val="Style26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</w:rPr>
        <w:t xml:space="preserve">со ссылкой на </w:t>
      </w:r>
      <w:r>
        <w:rPr>
          <w:rFonts w:eastAsia="Times New Roman" w:ascii="Times New Roman" w:hAnsi="Times New Roman"/>
          <w:color w:val="222222"/>
          <w:lang w:eastAsia="ru-RU"/>
        </w:rPr>
        <w:t>источник</w:t>
      </w:r>
      <w:r>
        <w:rPr>
          <w:rFonts w:ascii="Times New Roman" w:hAnsi="Times New Roman"/>
          <w:color w:val="303233"/>
          <w:shd w:fill="FFFFFF" w:val="clear"/>
        </w:rPr>
        <w:t xml:space="preserve"> </w:t>
      </w:r>
      <w:hyperlink r:id="rId1">
        <w:r>
          <w:rPr>
            <w:rStyle w:val="-"/>
            <w:rFonts w:ascii="Times New Roman" w:hAnsi="Times New Roman"/>
            <w:shd w:fill="FFFFFF" w:val="clear"/>
          </w:rPr>
          <w:t>https://tass.ru/obschestvo/14539539</w:t>
        </w:r>
      </w:hyperlink>
    </w:p>
  </w:footnote>
  <w:footnote w:id="4">
    <w:p>
      <w:pPr>
        <w:pStyle w:val="Style26"/>
        <w:jc w:val="both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color w:val="303233"/>
          <w:shd w:fill="FFFFFF" w:val="clear"/>
        </w:rPr>
        <w:t xml:space="preserve">Итоги выборочного наблюдения трудоустройства выпускников, получивших среднее профессиональное и высшее образование, Росстат, 2021 — Электронный ресурс — URL: </w:t>
      </w:r>
      <w:r>
        <w:rPr>
          <w:rFonts w:ascii="Times New Roman" w:hAnsi="Times New Roman"/>
          <w:shd w:fill="FFFFFF" w:val="clear"/>
        </w:rPr>
        <w:t>https://rosstat.gov.ru/itog_inspect</w:t>
      </w:r>
    </w:p>
  </w:footnote>
  <w:footnote w:id="5">
    <w:p>
      <w:pPr>
        <w:pStyle w:val="Style26"/>
        <w:jc w:val="both"/>
        <w:rPr/>
      </w:pPr>
      <w:r>
        <w:rPr>
          <w:rStyle w:val="Style5"/>
        </w:rPr>
        <w:footnoteRef/>
      </w:r>
      <w:r>
        <w:rPr/>
        <w:t xml:space="preserve"> </w:t>
      </w:r>
      <w:r>
        <w:rPr>
          <w:rFonts w:ascii="Times New Roman" w:hAnsi="Times New Roman"/>
          <w:shd w:fill="FFFFFF" w:val="clear"/>
        </w:rPr>
        <w:t xml:space="preserve">Что предлагает рынок труда молодым специалистам». Аналитическая служба компании HeadHunter; 25.01.2022 [Электронный ресурс]. — URL: </w:t>
      </w:r>
      <w:hyperlink r:id="rId2">
        <w:r>
          <w:rPr>
            <w:rFonts w:ascii="Times New Roman" w:hAnsi="Times New Roman"/>
            <w:shd w:fill="FFFFFF" w:val="clear"/>
          </w:rPr>
          <w:t>https://hh.ru/article/29871?hhtmFrom=article_29867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u w:val="none" w:color="FF0000"/>
        <w:color w:val="auto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6"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u w:val="none" w:color="FF000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 w:color="FF000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u w:val="none" w:color="FF000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–"/>
      <w:lvlJc w:val="left"/>
      <w:pPr>
        <w:tabs>
          <w:tab w:val="num" w:pos="0"/>
        </w:tabs>
        <w:ind w:left="1134" w:hanging="708"/>
      </w:pPr>
      <w:rPr>
        <w:rFonts w:ascii="Times New Roman" w:hAnsi="Times New Roman" w:cs="Times New Roman" w:hint="default"/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/>
    </w:lvl>
  </w:abstractNum>
  <w:abstractNum w:abstractNumId="16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spacing w:before="240" w:after="60"/>
      <w:outlineLvl w:val="0"/>
    </w:pPr>
    <w:rPr>
      <w:rFonts w:ascii="Calibri Light" w:hAnsi="Calibri Light" w:eastAsia="等线 Light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spacing w:before="240" w:after="60"/>
      <w:outlineLvl w:val="1"/>
    </w:pPr>
    <w:rPr>
      <w:rFonts w:ascii="Calibri Light" w:hAnsi="Calibri Light" w:eastAsia="等线 Light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spacing w:before="240" w:after="60"/>
      <w:outlineLvl w:val="2"/>
    </w:pPr>
    <w:rPr>
      <w:rFonts w:ascii="Calibri Light" w:hAnsi="Calibri Light" w:eastAsia="等线 Light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pPr>
      <w:spacing w:before="240" w:after="60"/>
      <w:outlineLvl w:val="8"/>
    </w:pPr>
    <w:rPr>
      <w:rFonts w:ascii="Calibri Light" w:hAnsi="Calibri Light" w:eastAsia="等线 Light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Символ сноски"/>
    <w:uiPriority w:val="99"/>
    <w:semiHidden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7">
    <w:name w:val="Emphasis"/>
    <w:basedOn w:val="DefaultParagraphFont"/>
    <w:uiPriority w:val="20"/>
    <w:qFormat/>
    <w:rPr>
      <w:rFonts w:ascii="Calibri" w:hAnsi="Calibri" w:asciiTheme="minorHAnsi" w:hAnsiTheme="minorHAnsi"/>
      <w:b/>
      <w:i/>
      <w:iCs/>
    </w:rPr>
  </w:style>
  <w:style w:type="character" w:styleId="-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11" w:customStyle="1">
    <w:name w:val="Заголовок 1 Знак"/>
    <w:basedOn w:val="DefaultParagraphFont"/>
    <w:uiPriority w:val="9"/>
    <w:qFormat/>
    <w:rPr>
      <w:rFonts w:ascii="Calibri Light" w:hAnsi="Calibri Light" w:eastAsia="等线 Light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qFormat/>
    <w:rPr>
      <w:rFonts w:ascii="Calibri Light" w:hAnsi="Calibri Light" w:eastAsia="等线 Light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qFormat/>
    <w:rPr>
      <w:rFonts w:ascii="Calibri Light" w:hAnsi="Calibri Light" w:eastAsia="等线 Light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Pr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Pr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Pr>
      <w:rFonts w:ascii="Calibri Light" w:hAnsi="Calibri Light" w:eastAsia="等线 Light" w:asciiTheme="majorHAnsi" w:eastAsiaTheme="majorEastAsia" w:hAnsiTheme="majorHAnsi"/>
    </w:rPr>
  </w:style>
  <w:style w:type="character" w:styleId="Style8" w:customStyle="1">
    <w:name w:val="Заголовок Знак"/>
    <w:basedOn w:val="DefaultParagraphFont"/>
    <w:uiPriority w:val="10"/>
    <w:qFormat/>
    <w:rPr>
      <w:rFonts w:ascii="Calibri Light" w:hAnsi="Calibri Light" w:eastAsia="等线 Light" w:asciiTheme="majorHAnsi" w:eastAsiaTheme="majorEastAsia" w:hAnsiTheme="majorHAnsi"/>
      <w:b/>
      <w:bCs/>
      <w:kern w:val="2"/>
      <w:sz w:val="28"/>
      <w:szCs w:val="32"/>
    </w:rPr>
  </w:style>
  <w:style w:type="character" w:styleId="Style9" w:customStyle="1">
    <w:name w:val="Подзаголовок Знак"/>
    <w:basedOn w:val="DefaultParagraphFont"/>
    <w:uiPriority w:val="11"/>
    <w:qFormat/>
    <w:rPr>
      <w:rFonts w:ascii="Calibri Light" w:hAnsi="Calibri Light" w:eastAsia="等线 Light" w:asciiTheme="majorHAnsi" w:eastAsiaTheme="majorEastAsia" w:hAnsiTheme="majorHAnsi"/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IntenseQuote"/>
    <w:uiPriority w:val="30"/>
    <w:qFormat/>
    <w:rPr>
      <w:b/>
      <w:i/>
      <w:sz w:val="24"/>
    </w:rPr>
  </w:style>
  <w:style w:type="character" w:styleId="12" w:customStyle="1">
    <w:name w:val="Слабое выделение1"/>
    <w:uiPriority w:val="19"/>
    <w:qFormat/>
    <w:rPr>
      <w:i/>
      <w:color w:val="595959" w:themeColor="text1" w:themeTint="a6"/>
    </w:rPr>
  </w:style>
  <w:style w:type="character" w:styleId="13" w:customStyle="1">
    <w:name w:val="Сильное выделение1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14" w:customStyle="1">
    <w:name w:val="Слабая ссылка1"/>
    <w:basedOn w:val="DefaultParagraphFont"/>
    <w:uiPriority w:val="31"/>
    <w:qFormat/>
    <w:rPr>
      <w:sz w:val="24"/>
      <w:szCs w:val="24"/>
      <w:u w:val="single"/>
    </w:rPr>
  </w:style>
  <w:style w:type="character" w:styleId="15" w:customStyle="1">
    <w:name w:val="Сильная ссылка1"/>
    <w:basedOn w:val="DefaultParagraphFont"/>
    <w:uiPriority w:val="32"/>
    <w:qFormat/>
    <w:rPr>
      <w:b/>
      <w:sz w:val="24"/>
      <w:u w:val="single"/>
    </w:rPr>
  </w:style>
  <w:style w:type="character" w:styleId="16" w:customStyle="1">
    <w:name w:val="Название книги1"/>
    <w:basedOn w:val="DefaultParagraphFont"/>
    <w:uiPriority w:val="33"/>
    <w:qFormat/>
    <w:rPr>
      <w:rFonts w:ascii="Calibri Light" w:hAnsi="Calibri Light" w:eastAsia="等线 Light" w:asciiTheme="majorHAnsi" w:eastAsiaTheme="majorEastAsia" w:hAnsiTheme="majorHAnsi"/>
      <w:b/>
      <w:i/>
      <w:sz w:val="24"/>
      <w:szCs w:val="24"/>
    </w:rPr>
  </w:style>
  <w:style w:type="character" w:styleId="Style11" w:customStyle="1">
    <w:name w:val="Верхний колонтитул Знак"/>
    <w:basedOn w:val="DefaultParagraphFont"/>
    <w:uiPriority w:val="99"/>
    <w:qFormat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Pr>
      <w:sz w:val="24"/>
      <w:szCs w:val="24"/>
    </w:rPr>
  </w:style>
  <w:style w:type="character" w:styleId="Hl-obj" w:customStyle="1">
    <w:name w:val="hl-obj"/>
    <w:basedOn w:val="DefaultParagraphFont"/>
    <w:qFormat/>
    <w:rPr/>
  </w:style>
  <w:style w:type="character" w:styleId="Style13" w:customStyle="1">
    <w:name w:val="Текст сноски Знак"/>
    <w:basedOn w:val="DefaultParagraphFont"/>
    <w:uiPriority w:val="99"/>
    <w:semiHidden/>
    <w:qFormat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Pr>
      <w:sz w:val="24"/>
      <w:szCs w:val="24"/>
      <w:lang w:eastAsia="en-US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Pr>
      <w:b/>
      <w:bCs/>
      <w:sz w:val="24"/>
      <w:szCs w:val="24"/>
      <w:lang w:eastAsia="en-US"/>
    </w:rPr>
  </w:style>
  <w:style w:type="character" w:styleId="Style17">
    <w:name w:val="Ссылка указателя"/>
    <w:qFormat/>
    <w:rPr/>
  </w:style>
  <w:style w:type="character" w:styleId="Style18">
    <w:name w:val="Символ нумерации"/>
    <w:qFormat/>
    <w:rPr/>
  </w:style>
  <w:style w:type="character" w:styleId="Style19">
    <w:name w:val="Символ концевой сноски"/>
    <w:qFormat/>
    <w:rPr/>
  </w:style>
  <w:style w:type="character" w:styleId="Style20">
    <w:name w:val="Endnote Reference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pPr/>
    <w:rPr/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pPr/>
    <w:rPr>
      <w:b/>
      <w:bCs/>
      <w:sz w:val="20"/>
      <w:szCs w:val="20"/>
    </w:rPr>
  </w:style>
  <w:style w:type="paragraph" w:styleId="Style26">
    <w:name w:val="Footnote Text"/>
    <w:basedOn w:val="Normal"/>
    <w:link w:val="Style13"/>
    <w:uiPriority w:val="99"/>
    <w:semiHidden/>
    <w:unhideWhenUsed/>
    <w:qFormat/>
    <w:pPr/>
    <w:rPr>
      <w:sz w:val="20"/>
      <w:szCs w:val="20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1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7">
    <w:name w:val="TOC 1"/>
    <w:basedOn w:val="Normal"/>
    <w:next w:val="Normal"/>
    <w:uiPriority w:val="39"/>
    <w:unhideWhenUsed/>
    <w:qFormat/>
    <w:pPr>
      <w:spacing w:before="0" w:after="100"/>
    </w:pPr>
    <w:rPr/>
  </w:style>
  <w:style w:type="paragraph" w:styleId="Style29">
    <w:name w:val="Title"/>
    <w:basedOn w:val="Normal"/>
    <w:next w:val="Normal"/>
    <w:link w:val="Style8"/>
    <w:uiPriority w:val="10"/>
    <w:qFormat/>
    <w:pPr>
      <w:spacing w:before="120" w:after="60"/>
      <w:outlineLvl w:val="0"/>
    </w:pPr>
    <w:rPr>
      <w:rFonts w:ascii="Calibri Light" w:hAnsi="Calibri Light" w:eastAsia="等线 Light" w:asciiTheme="majorHAnsi" w:eastAsiaTheme="majorEastAsia" w:hAnsiTheme="majorHAnsi"/>
      <w:b/>
      <w:bCs/>
      <w:kern w:val="2"/>
      <w:sz w:val="28"/>
      <w:szCs w:val="32"/>
    </w:rPr>
  </w:style>
  <w:style w:type="paragraph" w:styleId="Style30">
    <w:name w:val="Footer"/>
    <w:basedOn w:val="Normal"/>
    <w:link w:val="Style12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paragraph" w:styleId="Style31">
    <w:name w:val="Subtitle"/>
    <w:basedOn w:val="Normal"/>
    <w:next w:val="Normal"/>
    <w:link w:val="Style9"/>
    <w:uiPriority w:val="11"/>
    <w:qFormat/>
    <w:pPr>
      <w:spacing w:before="0" w:after="60"/>
      <w:jc w:val="center"/>
      <w:outlineLvl w:val="1"/>
    </w:pPr>
    <w:rPr>
      <w:rFonts w:ascii="Calibri Light" w:hAnsi="Calibri Light" w:eastAsia="等线 Light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pPr/>
    <w:rPr>
      <w:szCs w:val="32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cs="F"/>
    </w:rPr>
  </w:style>
  <w:style w:type="paragraph" w:styleId="Quote">
    <w:name w:val="Quote"/>
    <w:basedOn w:val="Normal"/>
    <w:next w:val="Normal"/>
    <w:link w:val="22"/>
    <w:uiPriority w:val="29"/>
    <w:qFormat/>
    <w:pPr/>
    <w:rPr>
      <w:i/>
    </w:rPr>
  </w:style>
  <w:style w:type="paragraph" w:styleId="IntenseQuote">
    <w:name w:val="Intense Quote"/>
    <w:basedOn w:val="Normal"/>
    <w:next w:val="Normal"/>
    <w:link w:val="Style10"/>
    <w:uiPriority w:val="30"/>
    <w:qFormat/>
    <w:pPr>
      <w:ind w:left="720" w:right="720" w:hanging="0"/>
    </w:pPr>
    <w:rPr>
      <w:b/>
      <w:i/>
      <w:szCs w:val="22"/>
    </w:rPr>
  </w:style>
  <w:style w:type="paragraph" w:styleId="18" w:customStyle="1">
    <w:name w:val="Заголовок оглавления1"/>
    <w:basedOn w:val="1"/>
    <w:next w:val="Normal"/>
    <w:uiPriority w:val="39"/>
    <w:unhideWhenUsed/>
    <w:qFormat/>
    <w:pPr>
      <w:outlineLvl w:val="9"/>
    </w:pPr>
    <w:rPr/>
  </w:style>
  <w:style w:type="paragraph" w:styleId="Style32">
    <w:name w:val="Index Heading"/>
    <w:basedOn w:val="Style21"/>
    <w:pPr>
      <w:suppressLineNumbers/>
      <w:ind w:left="0" w:hanging="0"/>
    </w:pPr>
    <w:rPr>
      <w:b/>
      <w:bCs/>
      <w:sz w:val="32"/>
      <w:szCs w:val="32"/>
    </w:rPr>
  </w:style>
  <w:style w:type="paragraph" w:styleId="Style33">
    <w:name w:val="TOC Heading"/>
    <w:basedOn w:val="Style32"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tass.ru/obschestvo/14539539" TargetMode="External"/><Relationship Id="rId2" Type="http://schemas.openxmlformats.org/officeDocument/2006/relationships/hyperlink" Target="https://hh.ru/article/29871?hhtmFrom=article_29867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8CAE-1342-4893-B0FB-77A99DFF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LibreOffice/7.5.3.2$Windows_X86_64 LibreOffice_project/9f56dff12ba03b9acd7730a5a481eea045e468f3</Application>
  <AppVersion>15.0000</AppVersion>
  <Pages>49</Pages>
  <Words>9033</Words>
  <Characters>63716</Characters>
  <CharactersWithSpaces>72164</CharactersWithSpaces>
  <Paragraphs>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2023-10-02T05:54:00Z</dcterms:created>
  <dc:creator>Lenovo</dc:creator>
  <dc:description/>
  <dc:language>ru-RU</dc:language>
  <cp:lastModifiedBy/>
  <dcterms:modified xsi:type="dcterms:W3CDTF">2023-10-30T12:47:57Z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E3159A6F003D4C4F8F70C35D14E97507_13</vt:lpwstr>
  </property>
  <property fmtid="{D5CDD505-2E9C-101B-9397-08002B2CF9AE}" pid="3" name="KSOProductBuildVer">
    <vt:lpwstr>1049-12.2.0.13215</vt:lpwstr>
  </property>
</Properties>
</file>