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1460EC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1460EC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1460EC">
        <w:rPr>
          <w:rFonts w:ascii="Tahoma" w:eastAsiaTheme="minorEastAsia" w:hAnsi="Tahoma" w:cs="Tahoma"/>
          <w:sz w:val="20"/>
          <w:lang w:eastAsia="ru-RU"/>
        </w:rPr>
        <w:br/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ПРАВИТЕЛЬСТВО РОССИЙСКОЙ ФЕДЕРАЦИИ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ПОСТАНОВЛЕНИЕ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от 22 декабря 2022 г. N 2371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ОБ ОСОБЕННОСТЯХ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ПРИМЕНЕНИЯ ЗАКОНОДАТЕЛЬСТВА О ЗАНЯТОСТИ НАСЕЛЕНИЯ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НА ТЕРРИТОРИЯХ ДОНЕЦКОЙ НАРОДНОЙ РЕСПУБЛИКИ, ЛУГАНСКОЙ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НАРОДНОЙ РЕСПУБЛИКИ, ЗАПОРОЖСКОЙ ОБЛАСТИ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И ХЕРСОНСКОЙ ОБЛАСТИ</w:t>
      </w:r>
    </w:p>
    <w:p w:rsidR="001460EC" w:rsidRPr="001460EC" w:rsidRDefault="001460EC" w:rsidP="001460E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60EC" w:rsidRPr="001460EC" w:rsidTr="00EB6E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Постановлений Правительства РФ от 24.06.2023 </w:t>
            </w:r>
            <w:hyperlink r:id="rId5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1026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29.06.2023 </w:t>
            </w:r>
            <w:hyperlink r:id="rId6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1069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07.03.2024 </w:t>
            </w:r>
            <w:hyperlink r:id="rId7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275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27.03.2024 </w:t>
            </w:r>
            <w:hyperlink r:id="rId8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378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9">
        <w:r w:rsidRPr="001460EC">
          <w:rPr>
            <w:rFonts w:ascii="Calibri" w:eastAsiaTheme="minorEastAsia" w:hAnsi="Calibri" w:cs="Calibri"/>
            <w:color w:val="0000FF"/>
            <w:lang w:eastAsia="ru-RU"/>
          </w:rPr>
          <w:t>частью 5 статьи 14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Федерального конституционного закона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 </w:t>
      </w:r>
      <w:hyperlink r:id="rId10">
        <w:r w:rsidRPr="001460EC">
          <w:rPr>
            <w:rFonts w:ascii="Calibri" w:eastAsiaTheme="minorEastAsia" w:hAnsi="Calibri" w:cs="Calibri"/>
            <w:color w:val="0000FF"/>
            <w:lang w:eastAsia="ru-RU"/>
          </w:rPr>
          <w:t>частью 5 статьи 14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Федерального конституционного закона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</w:t>
      </w:r>
      <w:hyperlink r:id="rId11">
        <w:r w:rsidRPr="001460EC">
          <w:rPr>
            <w:rFonts w:ascii="Calibri" w:eastAsiaTheme="minorEastAsia" w:hAnsi="Calibri" w:cs="Calibri"/>
            <w:color w:val="0000FF"/>
            <w:lang w:eastAsia="ru-RU"/>
          </w:rPr>
          <w:t>частью 5 статьи 14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Федерального конституционного закона "О принятии в Российскую Федерацию Запорожской области и образовании в составе Российской Федерации нового субъекта - Запорожской области", </w:t>
      </w:r>
      <w:hyperlink r:id="rId12">
        <w:r w:rsidRPr="001460EC">
          <w:rPr>
            <w:rFonts w:ascii="Calibri" w:eastAsiaTheme="minorEastAsia" w:hAnsi="Calibri" w:cs="Calibri"/>
            <w:color w:val="0000FF"/>
            <w:lang w:eastAsia="ru-RU"/>
          </w:rPr>
          <w:t>частью 5 статьи 14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Федерального конституционного закона "О принятии в Российскую Федерацию Херсонской области и образовании в составе Российской Федерации нового субъекта - Херсонской области" Правительство Российской Федерации постановляет: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1. Утвердить прилагаемые особенности применения законодательства о занятости населения на территориях Донецкой Народной Республики, Луганской Народной Республики, Запорожской области и Херсонской области.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0" w:name="P17"/>
      <w:bookmarkEnd w:id="0"/>
      <w:r w:rsidRPr="001460EC">
        <w:rPr>
          <w:rFonts w:ascii="Calibri" w:eastAsiaTheme="minorEastAsia" w:hAnsi="Calibri" w:cs="Calibri"/>
          <w:lang w:eastAsia="ru-RU"/>
        </w:rPr>
        <w:t xml:space="preserve">2. Настоящее постановление вступает в силу с 1 января 2023 г. и действует до 1 января 2026 г., за исключением положений </w:t>
      </w:r>
      <w:hyperlink w:anchor="P61">
        <w:r w:rsidRPr="001460EC">
          <w:rPr>
            <w:rFonts w:ascii="Calibri" w:eastAsiaTheme="minorEastAsia" w:hAnsi="Calibri" w:cs="Calibri"/>
            <w:color w:val="0000FF"/>
            <w:lang w:eastAsia="ru-RU"/>
          </w:rPr>
          <w:t>пункта 12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особенностей, утвержденных настоящим постановлением, в части особенностей использования единой цифровой платформы в сфере занятости и трудовых отношений "Работа в России" и федеральной государственной информационной системы "Единый портал государственных и муниципальных услуг (функций)", которые действуют до 1 июля 2024 г.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(в ред. </w:t>
      </w:r>
      <w:hyperlink r:id="rId13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29.06.2023 N 1069)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Председатель Правительства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М.МИШУСТИН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Утверждены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постановлением Правительства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от 22 декабря 2022 г. N 2371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lastRenderedPageBreak/>
        <w:t>ОСОБЕННОСТИ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ПРИМЕНЕНИЯ ЗАКОНОДАТЕЛЬСТВА О ЗАНЯТОСТИ НАСЕЛЕНИЯ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НА ТЕРРИТОРИЯХ ДОНЕЦКОЙ НАРОДНОЙ РЕСПУБЛИКИ, ЛУГАНСКОЙ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НАРОДНОЙ РЕСПУБЛИКИ, ЗАПОРОЖСКОЙ ОБЛАСТИ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1460EC">
        <w:rPr>
          <w:rFonts w:ascii="Calibri" w:eastAsiaTheme="minorEastAsia" w:hAnsi="Calibri" w:cs="Calibri"/>
          <w:b/>
          <w:lang w:eastAsia="ru-RU"/>
        </w:rPr>
        <w:t>И ХЕРСОНСКОЙ ОБЛАСТИ</w:t>
      </w:r>
    </w:p>
    <w:p w:rsidR="001460EC" w:rsidRPr="001460EC" w:rsidRDefault="001460EC" w:rsidP="001460E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60EC" w:rsidRPr="001460EC" w:rsidTr="00EB6E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Постановлений Правительства РФ от 24.06.2023 </w:t>
            </w:r>
            <w:hyperlink r:id="rId14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1026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29.06.2023 </w:t>
            </w:r>
            <w:hyperlink r:id="rId15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1069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07.03.2024 </w:t>
            </w:r>
            <w:hyperlink r:id="rId16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275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27.03.2024 </w:t>
            </w:r>
            <w:hyperlink r:id="rId17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378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1. Настоящий документ устанавливает особенности применения законодательства о занятости населения на территориях Донецкой Народной Республики, Луганской Народной Республики, Запорожской области и Херсонской области.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2. Регистрация граждан в целях поиска подходящей работы и регистрация безработных граждан осуществляются государственными учреждениями, созданными субъектами Российской Федерации в целях осуществления полномочий в сфере занятости населения (далее - центры занятости населения), в соответствии с </w:t>
      </w:r>
      <w:hyperlink r:id="rId18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 и с учетом особенностей, предусмотренных </w:t>
      </w:r>
      <w:hyperlink w:anchor="P45">
        <w:r w:rsidRPr="001460EC">
          <w:rPr>
            <w:rFonts w:ascii="Calibri" w:eastAsiaTheme="minorEastAsia" w:hAnsi="Calibri" w:cs="Calibri"/>
            <w:color w:val="0000FF"/>
            <w:lang w:eastAsia="ru-RU"/>
          </w:rPr>
          <w:t>пунктами 3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- </w:t>
      </w:r>
      <w:hyperlink w:anchor="P64">
        <w:r w:rsidRPr="001460EC">
          <w:rPr>
            <w:rFonts w:ascii="Calibri" w:eastAsiaTheme="minorEastAsia" w:hAnsi="Calibri" w:cs="Calibri"/>
            <w:color w:val="0000FF"/>
            <w:lang w:eastAsia="ru-RU"/>
          </w:rPr>
          <w:t>14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настоящего документа.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(в ред. </w:t>
      </w:r>
      <w:hyperlink r:id="rId19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07.03.2024 N 275)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45"/>
      <w:bookmarkEnd w:id="1"/>
      <w:r w:rsidRPr="001460EC">
        <w:rPr>
          <w:rFonts w:ascii="Calibri" w:eastAsiaTheme="minorEastAsia" w:hAnsi="Calibri" w:cs="Calibri"/>
          <w:lang w:eastAsia="ru-RU"/>
        </w:rPr>
        <w:t>3. Граждане в целях поиска подходящей работы и в целях регистрации в качестве безработных обращаются в центры занятости населения с заявлением о предоставлении государственной услуги по содействию в поиске подходящей работы (далее - заявление) лично.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4. В заявлении гражданин, обратившийся в центр занятости населения, указывает, претендует ли он на признание его безработным.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5. Гражданин, обратившийся в центр занятости населения в целях получения государственной услуги по содействию в поиске подходящей работы, предъявляет паспорт или документ, его заменяющий, а гражданин, относящийся к категории инвалидов, - также индивидуальную программу реабилитации инвалида, выданную в установленном порядке.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6. Для подбора подходящей работы гражданин также представляет 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 (далее - документы, подтверждающие образование и (или) квалификацию).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Подбор подходящей работы гражданину, утратившему документы, подтверждающие его образование и (или) квалификацию, осуществляется с учетом сведений о трудовой деятельности и трудовом стаже этого гражданина.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7. В случае если гражданин, обратившийся в центр занятости населения, указал в заявлении, что претендует на признание его безработным, он дополнительно предъявляет трудовую книжку или документ, ее заменяющий, справку о среднем заработке, выданную работодателем, а граждане, указанные в </w:t>
      </w:r>
      <w:hyperlink r:id="rId20">
        <w:r w:rsidRPr="001460EC">
          <w:rPr>
            <w:rFonts w:ascii="Calibri" w:eastAsiaTheme="minorEastAsia" w:hAnsi="Calibri" w:cs="Calibri"/>
            <w:color w:val="0000FF"/>
            <w:lang w:eastAsia="ru-RU"/>
          </w:rPr>
          <w:t>части 1 статьи 47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Федерального закона "О занятости населения в Российской Федерации", - также выданный в установленном порядке документ об отнесении граждан к категории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lastRenderedPageBreak/>
        <w:t xml:space="preserve">(в ред. Постановлений Правительства РФ от 07.03.2024 </w:t>
      </w:r>
      <w:hyperlink r:id="rId21">
        <w:r w:rsidRPr="001460EC">
          <w:rPr>
            <w:rFonts w:ascii="Calibri" w:eastAsiaTheme="minorEastAsia" w:hAnsi="Calibri" w:cs="Calibri"/>
            <w:color w:val="0000FF"/>
            <w:lang w:eastAsia="ru-RU"/>
          </w:rPr>
          <w:t>N 275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, от 27.03.2024 </w:t>
      </w:r>
      <w:hyperlink r:id="rId22">
        <w:r w:rsidRPr="001460EC">
          <w:rPr>
            <w:rFonts w:ascii="Calibri" w:eastAsiaTheme="minorEastAsia" w:hAnsi="Calibri" w:cs="Calibri"/>
            <w:color w:val="0000FF"/>
            <w:lang w:eastAsia="ru-RU"/>
          </w:rPr>
          <w:t>N 378</w:t>
        </w:r>
      </w:hyperlink>
      <w:r w:rsidRPr="001460EC">
        <w:rPr>
          <w:rFonts w:ascii="Calibri" w:eastAsiaTheme="minorEastAsia" w:hAnsi="Calibri" w:cs="Calibri"/>
          <w:lang w:eastAsia="ru-RU"/>
        </w:rPr>
        <w:t>)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8. В случае утраты трудовой книжки, а также если в трудовой книжке содержатся неполные или неточные сведения либо отсутствуют записи об отдельных периодах работы, гражданин может предъявить в центр занятости населения трудовой договор, оформленный в соответствии с трудовым законодательством, действовавшим на территориях Донецкой Народной Республики, Луганской Народной Республики, Запорожской области, Херсонской области на день возникновения соответствующих правоотношений, выписку из приказа или выданную работодателем справку, в которой содержится информация о периодах трудовой деятельности гражданина на территориях Донецкой Народной Республики, Луганской Народной Республики, Запорожской области или Херсонской области и его трудовом стаже до 30 сентября 2022 г.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53"/>
      <w:bookmarkEnd w:id="2"/>
      <w:r w:rsidRPr="001460EC">
        <w:rPr>
          <w:rFonts w:ascii="Calibri" w:eastAsiaTheme="minorEastAsia" w:hAnsi="Calibri" w:cs="Calibri"/>
          <w:lang w:eastAsia="ru-RU"/>
        </w:rPr>
        <w:t xml:space="preserve">9. В случае если работодатель прекратил деятельность и его местонахождение неизвестно, информация о периодах трудовой деятельности гражданина на территориях Донецкой Народной Республики, Луганской Народной Республики, Запорожской области или Херсонской области и его трудовом стаже до 30 сентября 2022 г. может быть подтверждена документом, выданным межведомственной комиссией по реализации трудовых, пенсионных и социальных прав граждан, действующей в соответствии с </w:t>
      </w:r>
      <w:hyperlink r:id="rId23">
        <w:r w:rsidRPr="001460EC">
          <w:rPr>
            <w:rFonts w:ascii="Calibri" w:eastAsiaTheme="minorEastAsia" w:hAnsi="Calibri" w:cs="Calibri"/>
            <w:color w:val="0000FF"/>
            <w:lang w:eastAsia="ru-RU"/>
          </w:rPr>
          <w:t>законодательством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Российской Федерации (далее - комиссия).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При наступлении указанного обстоятельства гражданин может предъявить в центр занятости населения справку о среднем заработке, выданную комиссией.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(в ред. </w:t>
      </w:r>
      <w:hyperlink r:id="rId24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27.03.2024 N 378)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10. В случае если гражданин, претендующий на признание безработным, в письменной форме выразил согласие на назначение ему пособия по безработице в размере минимальной величины, установленной Правительством Российской Федерации, решение о признании его безработным может быть принято без представления справки о среднем заработке.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(в ред. </w:t>
      </w:r>
      <w:hyperlink r:id="rId25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27.03.2024 N 378)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11. Документы, выданные в порядке, установленном законодательством, действовавшим на территориях Донецкой Народной Республики, Луганской Народной Республики, Запорожской области, Херсонской области до 30 сентября 2022 г., представляются в центры занятости населения без удостоверения нотариусом верности перевода таких документов на русский язык.</w:t>
      </w:r>
    </w:p>
    <w:p w:rsidR="001460EC" w:rsidRPr="001460EC" w:rsidRDefault="001460EC" w:rsidP="001460E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60EC" w:rsidRPr="001460EC" w:rsidTr="00EB6E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proofErr w:type="spellStart"/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КонсультантПлюс</w:t>
            </w:r>
            <w:proofErr w:type="spellEnd"/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>: примечание.</w:t>
            </w:r>
          </w:p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П. 12 в части особенностей использования ЕЦП "Работа в России" и ФГИС "ЕПГУ" </w:t>
            </w:r>
            <w:hyperlink w:anchor="P17">
              <w:r w:rsidRPr="001460EC">
                <w:rPr>
                  <w:rFonts w:ascii="Calibri" w:eastAsiaTheme="minorEastAsia" w:hAnsi="Calibri" w:cs="Calibri"/>
                  <w:color w:val="0000FF"/>
                  <w:lang w:eastAsia="ru-RU"/>
                </w:rPr>
                <w:t>действует</w:t>
              </w:r>
            </w:hyperlink>
            <w:r w:rsidRPr="001460E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до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0EC" w:rsidRPr="001460EC" w:rsidRDefault="001460EC" w:rsidP="001460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460EC" w:rsidRPr="001460EC" w:rsidRDefault="001460EC" w:rsidP="001460EC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61"/>
      <w:bookmarkEnd w:id="3"/>
      <w:r w:rsidRPr="001460EC">
        <w:rPr>
          <w:rFonts w:ascii="Calibri" w:eastAsiaTheme="minorEastAsia" w:hAnsi="Calibri" w:cs="Calibri"/>
          <w:lang w:eastAsia="ru-RU"/>
        </w:rPr>
        <w:t>12. Постановка на регистрационный учет, ведение регистрационного учета, снятие с регистрационного учета граждан в целях поиска подходящей работы и безработных граждан, а также оказание иных государственных услуг в сфере содействия занятости осуществляются без использования единой цифровой платформы в сфере занятости и трудовых отношений "Работа в России", федеральной государственной информационной системы "Единый портал государственных и муниципальных услуг (функций)".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Постановка на регистрационный учет, ведение регистрационного учета, снятие с регистрационного учета граждан в целях поиска подходящей работы и безработных граждан, а также оказание иных государственных услуг в сфере содействия занятости могут осуществляться с использованием региональных информационных систем.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13. Административные регламенты предоставления государственных услуг в сфере содействия занятости устанавливаются нормативными правовыми актами Донецкой Народной Республики, Луганской Народной Республики, Запорожской области и Херсонской области, согласованными с Министерством труда и социальной защиты Российской Федерации.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64"/>
      <w:bookmarkEnd w:id="4"/>
      <w:r w:rsidRPr="001460EC">
        <w:rPr>
          <w:rFonts w:ascii="Calibri" w:eastAsiaTheme="minorEastAsia" w:hAnsi="Calibri" w:cs="Calibri"/>
          <w:lang w:eastAsia="ru-RU"/>
        </w:rPr>
        <w:lastRenderedPageBreak/>
        <w:t>14. Уведомления граждан (в том числе о постановке на регистрационный учет в целях поиска подходящей работы, о дате и времени посещения центра занятости населения для перерегистрации, об отказе в приеме заявления, о снятии с регистрационного учета) оформляются центрами занятости населения в письменной форме и вручаются гражданину лично (под подпись) или направляются почтовым отправлением с уведомлением о вручении.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При поступлении в центр занятости населения сведений о свободных рабочих местах и вакантных должностях, которые являются подходящими для граждан, этим гражданам в устной (по телефону) или письменной (с использованием электронной почты) форме предлагается в течение 3 дней посетить центр занятости населения для подбора подходящей работы.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15. Размер среднего заработка для назначения пособия по безработице исчисляется работодателем в </w:t>
      </w:r>
      <w:hyperlink r:id="rId26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порядке</w:t>
        </w:r>
      </w:hyperlink>
      <w:r w:rsidRPr="001460EC">
        <w:rPr>
          <w:rFonts w:ascii="Calibri" w:eastAsiaTheme="minorEastAsia" w:hAnsi="Calibri" w:cs="Calibri"/>
          <w:lang w:eastAsia="ru-RU"/>
        </w:rPr>
        <w:t>, установленном Министерством труда и социальной защиты Российской Федерации.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(п. 15 в ред. </w:t>
      </w:r>
      <w:hyperlink r:id="rId27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27.03.2024 N 378)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16. При наступлении обстоятельства, указанного в </w:t>
      </w:r>
      <w:hyperlink w:anchor="P53">
        <w:r w:rsidRPr="001460EC">
          <w:rPr>
            <w:rFonts w:ascii="Calibri" w:eastAsiaTheme="minorEastAsia" w:hAnsi="Calibri" w:cs="Calibri"/>
            <w:color w:val="0000FF"/>
            <w:lang w:eastAsia="ru-RU"/>
          </w:rPr>
          <w:t>пункте 9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настоящего документа, средний заработок исчисляется комиссией.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(в ред. </w:t>
      </w:r>
      <w:hyperlink r:id="rId28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27.03.2024 N 378)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17. В случае отсутствия данных о среднемесячной начисленной заработной плате работников организаций, расположенных на территориях Донецкой Народной Республики, Луганской Народной Республики, Запорожской области и Херсонской области, при установлении пособия по безработице впервые ищущим работу (ранее не работавшим) и впервые признанным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используются данные о среднемесячной начисленной заработной плате работников организаций, расположенных на территории Республики Крым.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18. Центры занятости населения осуществляют полномочия в сфере занятости населения в соответствии со стандартами деятельности по осуществлению полномочий в сфере занятости населения по оказанию соответствующих государственных услуг, утвержденными Министерством труда и социальной защиты Российской Федерации.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19. Граждане и работодатели в целях получения государственных услуг в области содействия занятости населения представляют в центры занятости населения заявление и документы, в которых содержатся сведения, необходимые для предоставления государственной услуги, в форме бумажного документа лично.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>20. До 1 июля 2024 г. на территориях Донецкой Народной Республики, Луганской Народной Республики, Запорожской области и Херсонской области сбор, хранение и обработка информации о получателях государственных услуг в сфере занятости населения, содержащейся в регистрах получателей государственных услуг, могут обеспечиваться с использованием региональных информационных систем.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(в ред. </w:t>
      </w:r>
      <w:hyperlink r:id="rId29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29.06.2023 N 1069)</w:t>
      </w:r>
    </w:p>
    <w:p w:rsidR="001460EC" w:rsidRPr="001460EC" w:rsidRDefault="001460EC" w:rsidP="001460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21. До 1 июля 2024 г. информация, предусмотренная </w:t>
      </w:r>
      <w:hyperlink r:id="rId30">
        <w:r w:rsidRPr="001460EC">
          <w:rPr>
            <w:rFonts w:ascii="Calibri" w:eastAsiaTheme="minorEastAsia" w:hAnsi="Calibri" w:cs="Calibri"/>
            <w:color w:val="0000FF"/>
            <w:lang w:eastAsia="ru-RU"/>
          </w:rPr>
          <w:t>частью 1 статьи 53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Федерального закона "О занятости населения в Российской Федерации", представляется работодателями в центры занятости населения, действующие на территориях Донецкой Народной Республики, Луганской Народной Республики, Запорожской области и Херсонской области, в форме бумажных документов лично либо в виде почтового отправления с описью вложения или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1460EC">
        <w:rPr>
          <w:rFonts w:ascii="Calibri" w:eastAsiaTheme="minorEastAsia" w:hAnsi="Calibri" w:cs="Calibri"/>
          <w:lang w:eastAsia="ru-RU"/>
        </w:rPr>
        <w:t xml:space="preserve">(п. 21 в ред. </w:t>
      </w:r>
      <w:hyperlink r:id="rId31">
        <w:r w:rsidRPr="001460E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1460EC">
        <w:rPr>
          <w:rFonts w:ascii="Calibri" w:eastAsiaTheme="minorEastAsia" w:hAnsi="Calibri" w:cs="Calibri"/>
          <w:lang w:eastAsia="ru-RU"/>
        </w:rPr>
        <w:t xml:space="preserve"> Правительства РФ от 07.03.2024 N 275)</w:t>
      </w: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460EC" w:rsidRPr="001460EC" w:rsidRDefault="001460EC" w:rsidP="001460EC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1460EC" w:rsidRPr="001460EC" w:rsidRDefault="001460EC" w:rsidP="001460EC">
      <w:pPr>
        <w:spacing w:after="200" w:line="276" w:lineRule="auto"/>
        <w:rPr>
          <w:rFonts w:eastAsia="Times New Roman" w:cs="Times New Roman"/>
        </w:rPr>
      </w:pPr>
    </w:p>
    <w:p w:rsidR="006928AC" w:rsidRDefault="006928AC">
      <w:bookmarkStart w:id="5" w:name="_GoBack"/>
      <w:bookmarkEnd w:id="5"/>
    </w:p>
    <w:sectPr w:rsidR="006928AC" w:rsidSect="002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8"/>
    <w:rsid w:val="001460EC"/>
    <w:rsid w:val="006928AC"/>
    <w:rsid w:val="008B20E8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A261-BCC3-4A0A-A198-F6C05AE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0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60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60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0895&amp;dst=100006" TargetMode="External"/><Relationship Id="rId18" Type="http://schemas.openxmlformats.org/officeDocument/2006/relationships/hyperlink" Target="https://login.consultant.ru/link/?req=doc&amp;base=LAW&amp;n=473168&amp;dst=100016" TargetMode="External"/><Relationship Id="rId26" Type="http://schemas.openxmlformats.org/officeDocument/2006/relationships/hyperlink" Target="https://login.consultant.ru/link/?req=doc&amp;base=LAW&amp;n=472593&amp;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1745&amp;dst=100084" TargetMode="External"/><Relationship Id="rId7" Type="http://schemas.openxmlformats.org/officeDocument/2006/relationships/hyperlink" Target="https://login.consultant.ru/link/?req=doc&amp;base=LAW&amp;n=471745&amp;dst=100082" TargetMode="External"/><Relationship Id="rId12" Type="http://schemas.openxmlformats.org/officeDocument/2006/relationships/hyperlink" Target="https://login.consultant.ru/link/?req=doc&amp;base=LAW&amp;n=465559&amp;dst=100128" TargetMode="External"/><Relationship Id="rId17" Type="http://schemas.openxmlformats.org/officeDocument/2006/relationships/hyperlink" Target="https://login.consultant.ru/link/?req=doc&amp;base=LAW&amp;n=473114&amp;dst=100019" TargetMode="External"/><Relationship Id="rId25" Type="http://schemas.openxmlformats.org/officeDocument/2006/relationships/hyperlink" Target="https://login.consultant.ru/link/?req=doc&amp;base=LAW&amp;n=473114&amp;dst=10002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1745&amp;dst=100082" TargetMode="External"/><Relationship Id="rId20" Type="http://schemas.openxmlformats.org/officeDocument/2006/relationships/hyperlink" Target="https://login.consultant.ru/link/?req=doc&amp;base=LAW&amp;n=464093&amp;dst=100543" TargetMode="External"/><Relationship Id="rId29" Type="http://schemas.openxmlformats.org/officeDocument/2006/relationships/hyperlink" Target="https://login.consultant.ru/link/?req=doc&amp;base=LAW&amp;n=450895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895&amp;dst=100005" TargetMode="External"/><Relationship Id="rId11" Type="http://schemas.openxmlformats.org/officeDocument/2006/relationships/hyperlink" Target="https://login.consultant.ru/link/?req=doc&amp;base=LAW&amp;n=465558&amp;dst=100128" TargetMode="External"/><Relationship Id="rId24" Type="http://schemas.openxmlformats.org/officeDocument/2006/relationships/hyperlink" Target="https://login.consultant.ru/link/?req=doc&amp;base=LAW&amp;n=473114&amp;dst=1000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3167&amp;dst=100087" TargetMode="External"/><Relationship Id="rId15" Type="http://schemas.openxmlformats.org/officeDocument/2006/relationships/hyperlink" Target="https://login.consultant.ru/link/?req=doc&amp;base=LAW&amp;n=450895&amp;dst=100007" TargetMode="External"/><Relationship Id="rId23" Type="http://schemas.openxmlformats.org/officeDocument/2006/relationships/hyperlink" Target="https://login.consultant.ru/link/?req=doc&amp;base=LAW&amp;n=437431&amp;dst=100010" TargetMode="External"/><Relationship Id="rId28" Type="http://schemas.openxmlformats.org/officeDocument/2006/relationships/hyperlink" Target="https://login.consultant.ru/link/?req=doc&amp;base=LAW&amp;n=473114&amp;dst=100023" TargetMode="External"/><Relationship Id="rId10" Type="http://schemas.openxmlformats.org/officeDocument/2006/relationships/hyperlink" Target="https://login.consultant.ru/link/?req=doc&amp;base=LAW&amp;n=465556&amp;dst=100130" TargetMode="External"/><Relationship Id="rId19" Type="http://schemas.openxmlformats.org/officeDocument/2006/relationships/hyperlink" Target="https://login.consultant.ru/link/?req=doc&amp;base=LAW&amp;n=471745&amp;dst=100083" TargetMode="External"/><Relationship Id="rId31" Type="http://schemas.openxmlformats.org/officeDocument/2006/relationships/hyperlink" Target="https://login.consultant.ru/link/?req=doc&amp;base=LAW&amp;n=471745&amp;dst=10008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560&amp;dst=100130" TargetMode="External"/><Relationship Id="rId14" Type="http://schemas.openxmlformats.org/officeDocument/2006/relationships/hyperlink" Target="https://login.consultant.ru/link/?req=doc&amp;base=LAW&amp;n=473167&amp;dst=100087" TargetMode="External"/><Relationship Id="rId22" Type="http://schemas.openxmlformats.org/officeDocument/2006/relationships/hyperlink" Target="https://login.consultant.ru/link/?req=doc&amp;base=LAW&amp;n=473114&amp;dst=100020" TargetMode="External"/><Relationship Id="rId27" Type="http://schemas.openxmlformats.org/officeDocument/2006/relationships/hyperlink" Target="https://login.consultant.ru/link/?req=doc&amp;base=LAW&amp;n=473114&amp;dst=100021" TargetMode="External"/><Relationship Id="rId30" Type="http://schemas.openxmlformats.org/officeDocument/2006/relationships/hyperlink" Target="https://login.consultant.ru/link/?req=doc&amp;base=LAW&amp;n=464093&amp;dst=100602" TargetMode="External"/><Relationship Id="rId8" Type="http://schemas.openxmlformats.org/officeDocument/2006/relationships/hyperlink" Target="https://login.consultant.ru/link/?req=doc&amp;base=LAW&amp;n=473114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2263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2024-04-15T13:49:00Z</dcterms:created>
  <dcterms:modified xsi:type="dcterms:W3CDTF">2024-04-15T13:50:00Z</dcterms:modified>
</cp:coreProperties>
</file>