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  <w:u w:val="single"/>
        </w:rPr>
        <w:t xml:space="preserve">Благодарим за активное участие в решении кейса!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Многие коллеги сошлись во мнении по проведению психологической поддержке жён и матерей семей мобилизованных, а также закреплению индивидуального карьерного консультанта.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Владимирская область и Республики Марий Эл  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обращают внимание навременное трудоустройство несовершеннолетних членов семей мобилизованных (после учебы).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Значимое предложение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 Красноярского края, Курской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 организации межведомственного взаимодействия.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Интересное предложение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 координационным мерам поддержки в виде поиска нужной информации и ресурсов.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Солидарны во мнении с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Республики Башкортостан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«от предоставления услуг к решению проблем»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Поддерживаем предложение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Тюменской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 формированию реестра мобилизованных граждан и проактивному предоставлению услуг членов их семей.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Омская область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акцентирует внимание на взаимодействие с работодателями по трудоустройству в приоритетном порядке  членов семей мобилизованных граждан.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Важное предложение у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Оренбургской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– постоянная обратная связь.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Креативное предложение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Нижегородской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«Погода в доме».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Полагаю, что коллеги вовлекли нас на внедрение новых идей в своей работе, спасибо всем!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Алтайский край передает эстафету проведения флешмоба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  <w:u w:val="single"/>
        </w:rPr>
        <w:t xml:space="preserve">Нижегородской области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2023-01-11T12:44:01Z</dcterms:modified>
</cp:coreProperties>
</file>