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Доброе утро, коллеги! ☀️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Брянская область благодарит всех за внимание к кейсу, с учетом положений Закона о занятости и принципов политики клиентоцентричности. Действительно, такой выбор мы с вами делаем каждый день! В решении этой ситуации вас было так много! Но все же подведем ит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оги: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ЦЗН г. Осинники Кемеровской области - Кузбасса предложили в кейсе клиенту альтернативы по решению его жизненной ситуации.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Удмуртская Республика первой вспомнила о возможности переезда – как тренд современного рынка труда в части развития трудовой мобильности.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Коллеги из филиала ГКУ ВО "ЦЗН Владимирской области" - "Киржачский в начале разговора снизили градус тревожности с помощью психолога, а затем предложили клиенту разные услуги СЗН.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Республика Татарстан (г. Набережные Челны) скреативили по оформлению и по сути также предложили интересные решения. Например, анализ требований, которые предъявляют работодатели к юристам.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Калининградская область в предлагаемых решениях выстроил с клиентом партнерские отношения.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Коллеги из Кемерово предложили бы клиенту переезд для трудоустройства в другой регион  в рамках постановления 362 на предприятия ОПК, отметив, что такая программа есть в Нижнем Новгороде.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Иркутская область предложили клиенту ряд решений и «всегда быть на связи».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Команда Курской области повеселили всех своим оформлением, и с первых шагов дали клиенту надежду на то, что вакансии обновляются постоянно и у него обязательно все получится!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ГКУ ЦЗН г. Киселевска Кемеровской области- Кузбасса пригласили клиента на Всероссийскую ярмарку трудоустройства.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Решение Липецкой области включало в себя заключение социального контракта.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Алтайский край предложил зайти с понимания причины возражений и предложения соответствующих вариантов развития событий.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Нижегородская область - предложили интересную идею по «замене специалиста» и проведение в дальнейшем SWOT-анализа. 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Коллеги из ГКУ ЦЗН г. Топки Кемеровской области-Кузбасса  упомянули о проекте «Демография» и предложили обдумать предложенные варианты до следующего посещения ЦЗН.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ГКУ Юго-восточный межрайонный ЦЗН (г. Стерлитамак) Республики Башкортостан посчитал важным показать, что специалисты не сидят, сложа руки, и будут активно содействовать в трудоустройстве клиента. 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Чувашская Республика с клиентом будут составлять индивидуальный план поиска работы. 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Ульяновская область совместно с клиентом проанализировали причины отказа работодателей в трудоустройстве.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ГКУ Республиканский центр занятости населения Республики Башкортостан г. Уфа в числе прочих мер предложили клиенту беседу на тему «Как вернуться в профессию после длительного перерыва в работе».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Омская область превратили нашего юриста в супермена и посоветовали клиенту в резюме указать его хобби.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Республика Башкортостан (г. Бирск) разъяснили клиенту положения Закона о занятости и предложили при этом несколько разных государственных услуг.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🔹 Калужский Кадровый центр сосредоточили внимание клиента на смежных профессиях.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Передаем эстафету Курской области</w:t>
      </w:r>
      <w:r/>
      <w:r>
        <w:rPr>
          <w:rFonts w:ascii="DejaVu Sans" w:hAnsi="DejaVu Sans" w:eastAsia="Liberation Sans" w:cs="DejaVu Sans"/>
          <w:color w:val="000000"/>
          <w:sz w:val="20"/>
          <w:szCs w:val="24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4"/>
          <w:highlight w:val="none"/>
        </w:rPr>
      </w:r>
      <w:r>
        <w:rPr>
          <w:rFonts w:ascii="Liberation Sans" w:hAnsi="Liberation Sans" w:eastAsia="Liberation Sans" w:cs="Liberation Sans"/>
          <w:sz w:val="18"/>
        </w:rPr>
      </w:r>
      <w:r>
        <w:rPr>
          <w:rFonts w:ascii="DejaVu Sans" w:hAnsi="DejaVu Sans" w:cs="DejaVu Sans"/>
          <w:sz w:val="24"/>
          <w:szCs w:val="24"/>
        </w:rPr>
      </w:r>
      <w:r>
        <w:rPr>
          <w:rFonts w:ascii="DejaVu Sans" w:hAnsi="DejaVu Sans" w:cs="DejaVu Sans"/>
          <w:sz w:val="24"/>
          <w:szCs w:val="24"/>
        </w:rPr>
      </w:r>
      <w:r>
        <w:rPr>
          <w:rFonts w:ascii="Liberation Sans" w:hAnsi="Liberation Sans" w:eastAsia="Liberation Sans" w:cs="Liberation Sans"/>
          <w:sz w:val="1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2023-05-10T14:14:16Z</dcterms:modified>
</cp:coreProperties>
</file>