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DE64" w14:textId="54155EEB" w:rsidR="004E121E" w:rsidRPr="005924E9" w:rsidRDefault="004E121E" w:rsidP="004E121E">
      <w:pPr>
        <w:keepNext/>
        <w:pageBreakBefore/>
        <w:spacing w:after="240"/>
        <w:jc w:val="right"/>
        <w:outlineLvl w:val="0"/>
        <w:rPr>
          <w:rFonts w:ascii="Times New Roman" w:hAnsi="Times New Roman" w:cs="Times New Roman"/>
          <w:b/>
          <w:bCs/>
        </w:rPr>
      </w:pPr>
      <w:r w:rsidRPr="00B74542">
        <w:rPr>
          <w:rFonts w:ascii="Times New Roman" w:hAnsi="Times New Roman" w:cs="Times New Roman"/>
          <w:b/>
          <w:bCs/>
        </w:rPr>
        <w:t>Приложение </w:t>
      </w:r>
      <w:r w:rsidR="001471D3">
        <w:rPr>
          <w:rFonts w:ascii="Times New Roman" w:hAnsi="Times New Roman" w:cs="Times New Roman"/>
          <w:b/>
          <w:bCs/>
        </w:rPr>
        <w:t>4</w:t>
      </w:r>
    </w:p>
    <w:p w14:paraId="65A93526" w14:textId="3F020794" w:rsidR="002D4037" w:rsidRDefault="0009300A" w:rsidP="002D4037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  <w:r w:rsidR="004E121E">
        <w:rPr>
          <w:rFonts w:ascii="Times New Roman" w:hAnsi="Times New Roman" w:cs="Times New Roman"/>
          <w:b/>
          <w:bCs/>
        </w:rPr>
        <w:t xml:space="preserve"> о результатах пилотной апробации </w:t>
      </w:r>
      <w:r w:rsidR="000A0589" w:rsidRPr="000A0589">
        <w:rPr>
          <w:rFonts w:ascii="Times New Roman" w:hAnsi="Times New Roman" w:cs="Times New Roman"/>
          <w:b/>
          <w:bCs/>
        </w:rPr>
        <w:t>элементов методики измерения показателей клиентоцентричности в</w:t>
      </w:r>
      <w:r>
        <w:rPr>
          <w:rFonts w:ascii="Times New Roman" w:hAnsi="Times New Roman" w:cs="Times New Roman"/>
          <w:b/>
          <w:bCs/>
        </w:rPr>
        <w:t xml:space="preserve"> ОКУ «ЦЗН Липецкой области» </w:t>
      </w:r>
      <w:r w:rsidR="000A0589" w:rsidRPr="000A0589">
        <w:rPr>
          <w:rFonts w:ascii="Times New Roman" w:hAnsi="Times New Roman" w:cs="Times New Roman"/>
          <w:b/>
          <w:bCs/>
        </w:rPr>
        <w:t xml:space="preserve"> </w:t>
      </w:r>
    </w:p>
    <w:p w14:paraId="4BE99527" w14:textId="77777777" w:rsidR="002D4037" w:rsidRDefault="002D4037" w:rsidP="002D4037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841"/>
        <w:gridCol w:w="3902"/>
        <w:gridCol w:w="3587"/>
        <w:gridCol w:w="1977"/>
        <w:gridCol w:w="4581"/>
      </w:tblGrid>
      <w:tr w:rsidR="004E121E" w14:paraId="42A6AB50" w14:textId="77777777" w:rsidTr="002D4037">
        <w:trPr>
          <w:trHeight w:val="786"/>
        </w:trPr>
        <w:tc>
          <w:tcPr>
            <w:tcW w:w="841" w:type="dxa"/>
            <w:shd w:val="clear" w:color="auto" w:fill="EDEDED"/>
          </w:tcPr>
          <w:p w14:paraId="08D91AA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02" w:type="dxa"/>
            <w:shd w:val="clear" w:color="auto" w:fill="EDEDED"/>
            <w:vAlign w:val="center"/>
          </w:tcPr>
          <w:p w14:paraId="0BE04C84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587" w:type="dxa"/>
            <w:shd w:val="clear" w:color="auto" w:fill="EDEDED"/>
            <w:vAlign w:val="center"/>
          </w:tcPr>
          <w:p w14:paraId="36E4213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977" w:type="dxa"/>
            <w:shd w:val="clear" w:color="auto" w:fill="EDEDED"/>
            <w:vAlign w:val="center"/>
          </w:tcPr>
          <w:p w14:paraId="68DC37B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исполнения</w:t>
            </w:r>
          </w:p>
        </w:tc>
        <w:tc>
          <w:tcPr>
            <w:tcW w:w="4581" w:type="dxa"/>
            <w:shd w:val="clear" w:color="auto" w:fill="EDEDED"/>
            <w:vAlign w:val="center"/>
          </w:tcPr>
          <w:p w14:paraId="635157E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(дополнительные материалы, приложения)</w:t>
            </w:r>
          </w:p>
        </w:tc>
      </w:tr>
      <w:tr w:rsidR="004E121E" w14:paraId="551AB7D0" w14:textId="77777777" w:rsidTr="002D4037">
        <w:trPr>
          <w:trHeight w:val="333"/>
        </w:trPr>
        <w:tc>
          <w:tcPr>
            <w:tcW w:w="841" w:type="dxa"/>
            <w:shd w:val="clear" w:color="auto" w:fill="EDEDED"/>
          </w:tcPr>
          <w:p w14:paraId="0F06E6D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02" w:type="dxa"/>
            <w:shd w:val="clear" w:color="auto" w:fill="EDEDED"/>
          </w:tcPr>
          <w:p w14:paraId="16D2AA9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87" w:type="dxa"/>
            <w:shd w:val="clear" w:color="auto" w:fill="EDEDED"/>
          </w:tcPr>
          <w:p w14:paraId="2AE70639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77" w:type="dxa"/>
            <w:shd w:val="clear" w:color="auto" w:fill="EDEDED"/>
          </w:tcPr>
          <w:p w14:paraId="7BE6885A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81" w:type="dxa"/>
            <w:shd w:val="clear" w:color="auto" w:fill="EDEDED"/>
          </w:tcPr>
          <w:p w14:paraId="5609E81E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E121E" w14:paraId="547ACA8D" w14:textId="77777777" w:rsidTr="002D4037">
        <w:trPr>
          <w:trHeight w:val="360"/>
        </w:trPr>
        <w:tc>
          <w:tcPr>
            <w:tcW w:w="841" w:type="dxa"/>
          </w:tcPr>
          <w:p w14:paraId="7D0A9C7F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1B22B098" w14:textId="09F9B7DC" w:rsidR="004E121E" w:rsidRPr="007B7E47" w:rsidRDefault="004E121E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установочном вебинаре о пилотной </w:t>
            </w:r>
            <w:r w:rsidR="000A0589">
              <w:rPr>
                <w:rFonts w:ascii="Times New Roman" w:hAnsi="Times New Roman" w:cs="Times New Roman"/>
              </w:rPr>
              <w:t xml:space="preserve">апробации </w:t>
            </w:r>
            <w:r w:rsidR="000A0589" w:rsidRPr="000A0589">
              <w:rPr>
                <w:rFonts w:ascii="Times New Roman" w:hAnsi="Times New Roman" w:cs="Times New Roman"/>
              </w:rPr>
              <w:t>элементов методики измерения показателей клиентоцентричности в СЗН</w:t>
            </w:r>
          </w:p>
        </w:tc>
        <w:tc>
          <w:tcPr>
            <w:tcW w:w="3587" w:type="dxa"/>
          </w:tcPr>
          <w:p w14:paraId="41D3A7AC" w14:textId="77777777" w:rsidR="00F14723" w:rsidRDefault="00F14723" w:rsidP="00C1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сотрудников ОКУ «ЦЗН Липецкой области» в вебинаре, посвященном показателям клиентоцентричности в работе СЗН и методикам их измерения.</w:t>
            </w:r>
          </w:p>
          <w:p w14:paraId="1DC9D531" w14:textId="28B12060" w:rsidR="00F14723" w:rsidRDefault="00F14723" w:rsidP="00C1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 с методикой измерения показателей клиентоцентричности в работе СЗН  ознакомлены.</w:t>
            </w:r>
          </w:p>
          <w:p w14:paraId="1CDD85D2" w14:textId="3BC55E92" w:rsidR="004E121E" w:rsidRDefault="004E121E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9639184" w14:textId="1C902255" w:rsidR="004E121E" w:rsidRPr="00012918" w:rsidRDefault="00F14723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>08.04.2022г.</w:t>
            </w:r>
          </w:p>
        </w:tc>
        <w:tc>
          <w:tcPr>
            <w:tcW w:w="4581" w:type="dxa"/>
          </w:tcPr>
          <w:p w14:paraId="7BD2790C" w14:textId="2D4AF6BA" w:rsidR="004E121E" w:rsidRPr="00012918" w:rsidRDefault="00F14723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</w:rPr>
              <w:t>Видеозапись установочного вебинара</w:t>
            </w:r>
          </w:p>
        </w:tc>
      </w:tr>
      <w:tr w:rsidR="004E121E" w14:paraId="730544BF" w14:textId="77777777" w:rsidTr="002D4037">
        <w:trPr>
          <w:trHeight w:val="360"/>
        </w:trPr>
        <w:tc>
          <w:tcPr>
            <w:tcW w:w="841" w:type="dxa"/>
          </w:tcPr>
          <w:p w14:paraId="05B9738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62F8D4EF" w14:textId="77777777" w:rsidR="000B4DB4" w:rsidRPr="005E1EBF" w:rsidRDefault="00A0356D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>Подготовка пакета организационно-нормативных документов</w:t>
            </w:r>
            <w:r w:rsidR="000B4DB4" w:rsidRPr="005E1EBF">
              <w:rPr>
                <w:rFonts w:ascii="Times New Roman" w:hAnsi="Times New Roman" w:cs="Times New Roman"/>
              </w:rPr>
              <w:t>:</w:t>
            </w:r>
          </w:p>
          <w:p w14:paraId="72DCAA89" w14:textId="4351FE5A" w:rsidR="003835BB" w:rsidRPr="005E1EBF" w:rsidRDefault="003835BB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 xml:space="preserve">- </w:t>
            </w:r>
            <w:r w:rsidR="005E1EBF">
              <w:rPr>
                <w:rFonts w:ascii="Times New Roman" w:hAnsi="Times New Roman" w:cs="Times New Roman"/>
              </w:rPr>
              <w:t>п</w:t>
            </w:r>
            <w:r w:rsidRPr="005E1EBF">
              <w:rPr>
                <w:rFonts w:ascii="Times New Roman" w:hAnsi="Times New Roman" w:cs="Times New Roman"/>
              </w:rPr>
              <w:t>риказ об участии в пилотной апробации</w:t>
            </w:r>
            <w:r w:rsidR="005E1EBF">
              <w:rPr>
                <w:rFonts w:ascii="Times New Roman" w:hAnsi="Times New Roman" w:cs="Times New Roman"/>
              </w:rPr>
              <w:t>;</w:t>
            </w:r>
          </w:p>
          <w:p w14:paraId="376F2F33" w14:textId="77777777" w:rsidR="003835BB" w:rsidRPr="005E1EBF" w:rsidRDefault="003835BB" w:rsidP="00DD0C71">
            <w:pPr>
              <w:rPr>
                <w:rFonts w:ascii="Times New Roman" w:hAnsi="Times New Roman" w:cs="Times New Roman"/>
              </w:rPr>
            </w:pPr>
            <w:r w:rsidRPr="005E1EBF">
              <w:rPr>
                <w:rFonts w:ascii="Times New Roman" w:hAnsi="Times New Roman" w:cs="Times New Roman"/>
              </w:rPr>
              <w:t>- дорожная карта</w:t>
            </w:r>
          </w:p>
          <w:p w14:paraId="7A99300E" w14:textId="5C30E664" w:rsidR="005E1EBF" w:rsidRDefault="003835BB" w:rsidP="005E1EBF">
            <w:pPr>
              <w:rPr>
                <w:rFonts w:ascii="Times New Roman" w:hAnsi="Times New Roman" w:cs="Times New Roman"/>
                <w:b/>
                <w:bCs/>
              </w:rPr>
            </w:pPr>
            <w:r w:rsidRPr="005E1EBF">
              <w:rPr>
                <w:rFonts w:ascii="Times New Roman" w:hAnsi="Times New Roman" w:cs="Times New Roman"/>
              </w:rPr>
              <w:t xml:space="preserve">- </w:t>
            </w:r>
            <w:r w:rsidR="005E1EBF" w:rsidRPr="005E1EBF">
              <w:rPr>
                <w:rFonts w:ascii="Times New Roman" w:hAnsi="Times New Roman" w:cs="Times New Roman"/>
              </w:rPr>
              <w:t>состав рабочей группы</w:t>
            </w:r>
            <w:r w:rsidR="000B4DB4" w:rsidRPr="005E1EBF">
              <w:rPr>
                <w:rFonts w:ascii="Times New Roman" w:hAnsi="Times New Roman" w:cs="Times New Roman"/>
              </w:rPr>
              <w:t xml:space="preserve"> </w:t>
            </w:r>
          </w:p>
          <w:p w14:paraId="369259B0" w14:textId="754C2389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7" w:type="dxa"/>
          </w:tcPr>
          <w:p w14:paraId="278785A3" w14:textId="0479C4A1" w:rsidR="004E121E" w:rsidRPr="00C15345" w:rsidRDefault="00F14723" w:rsidP="00F14723">
            <w:pPr>
              <w:rPr>
                <w:rFonts w:ascii="Times New Roman" w:hAnsi="Times New Roman" w:cs="Times New Roman"/>
                <w:bCs/>
              </w:rPr>
            </w:pPr>
            <w:r w:rsidRPr="00C15345">
              <w:rPr>
                <w:rFonts w:ascii="Times New Roman" w:hAnsi="Times New Roman" w:cs="Times New Roman"/>
                <w:bCs/>
              </w:rPr>
              <w:t>Подготовлен и подписан приказ о проведении пилотной апробации элементов измерения показателей клиентоцентричности</w:t>
            </w:r>
            <w:r w:rsidR="00C15345" w:rsidRPr="00C15345">
              <w:rPr>
                <w:rFonts w:ascii="Times New Roman" w:hAnsi="Times New Roman" w:cs="Times New Roman"/>
                <w:bCs/>
              </w:rPr>
              <w:t>. Утверждена дорожная карта и состав рабочей группы.</w:t>
            </w:r>
            <w:r w:rsidRPr="00C153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77" w:type="dxa"/>
          </w:tcPr>
          <w:p w14:paraId="151E89BF" w14:textId="6BE3BADE" w:rsidR="004E121E" w:rsidRPr="00012918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>08.04.2022</w:t>
            </w:r>
          </w:p>
        </w:tc>
        <w:tc>
          <w:tcPr>
            <w:tcW w:w="4581" w:type="dxa"/>
          </w:tcPr>
          <w:p w14:paraId="3625ED0F" w14:textId="0733A63D" w:rsidR="004E121E" w:rsidRPr="00012918" w:rsidRDefault="007B0F1C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2918" w:rsidRPr="00012918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  <w:p w14:paraId="2176543F" w14:textId="74DDA6AE" w:rsidR="00012918" w:rsidRPr="00012918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>Приложение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B36D13">
              <w:rPr>
                <w:rFonts w:ascii="Times New Roman" w:hAnsi="Times New Roman" w:cs="Times New Roman"/>
                <w:bCs/>
              </w:rPr>
              <w:t xml:space="preserve">1, </w:t>
            </w:r>
            <w:r w:rsidRPr="00012918">
              <w:rPr>
                <w:rFonts w:ascii="Times New Roman" w:hAnsi="Times New Roman" w:cs="Times New Roman"/>
                <w:bCs/>
              </w:rPr>
              <w:t>№2</w:t>
            </w:r>
            <w:r w:rsidR="00B36D13">
              <w:rPr>
                <w:rFonts w:ascii="Times New Roman" w:hAnsi="Times New Roman" w:cs="Times New Roman"/>
                <w:bCs/>
              </w:rPr>
              <w:t>, №3</w:t>
            </w:r>
          </w:p>
          <w:p w14:paraId="6804191C" w14:textId="76268009" w:rsidR="00012918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 xml:space="preserve"> к приказу </w:t>
            </w:r>
          </w:p>
          <w:p w14:paraId="4AD11A92" w14:textId="77777777" w:rsidR="00B24984" w:rsidRDefault="00B24984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DDF5B62" w14:textId="3EC7312F" w:rsidR="00B24984" w:rsidRDefault="007170D7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B24984" w:rsidRPr="004B5875">
                <w:rPr>
                  <w:rStyle w:val="a5"/>
                  <w:rFonts w:ascii="Times New Roman" w:hAnsi="Times New Roman" w:cs="Times New Roman"/>
                  <w:bCs/>
                </w:rPr>
                <w:t>https://disk.yandex.ru/i/oEaknFmGcMSUUQ</w:t>
              </w:r>
            </w:hyperlink>
          </w:p>
          <w:p w14:paraId="43BD5F8B" w14:textId="77777777" w:rsidR="00B24984" w:rsidRPr="00012918" w:rsidRDefault="00B24984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F971B75" w14:textId="1DBA9469" w:rsidR="00012918" w:rsidRPr="00012918" w:rsidRDefault="00B24984" w:rsidP="00B24984">
            <w:pPr>
              <w:tabs>
                <w:tab w:val="left" w:pos="88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A0589" w14:paraId="26414BD6" w14:textId="77777777" w:rsidTr="002D4037">
        <w:trPr>
          <w:trHeight w:val="360"/>
        </w:trPr>
        <w:tc>
          <w:tcPr>
            <w:tcW w:w="841" w:type="dxa"/>
          </w:tcPr>
          <w:p w14:paraId="111C63F0" w14:textId="538ABFBD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0932A50A" w14:textId="1E4DEFA4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Утверждение перечня показателей клиентоцентричности в работе СЗН, пилотируемых регионе.</w:t>
            </w:r>
            <w:r w:rsidR="002531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7" w:type="dxa"/>
          </w:tcPr>
          <w:p w14:paraId="76F2229B" w14:textId="28440BB0" w:rsidR="000A0589" w:rsidRPr="00012918" w:rsidRDefault="00012918" w:rsidP="007006D2">
            <w:pPr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 xml:space="preserve"> Утвержден перечень показателей клиентоцентричности в работе ЦЗН пилотируемых в Липецкой области </w:t>
            </w:r>
          </w:p>
        </w:tc>
        <w:tc>
          <w:tcPr>
            <w:tcW w:w="1977" w:type="dxa"/>
          </w:tcPr>
          <w:p w14:paraId="42269A6E" w14:textId="55811D5A" w:rsidR="000A0589" w:rsidRPr="00012918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>13.04.2022</w:t>
            </w:r>
          </w:p>
        </w:tc>
        <w:tc>
          <w:tcPr>
            <w:tcW w:w="4581" w:type="dxa"/>
          </w:tcPr>
          <w:p w14:paraId="19DC30ED" w14:textId="77777777" w:rsidR="000A0589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2918">
              <w:rPr>
                <w:rFonts w:ascii="Times New Roman" w:hAnsi="Times New Roman" w:cs="Times New Roman"/>
                <w:bCs/>
              </w:rPr>
              <w:t>Согласованный перечень клиентоцентричности в работе ЦЗН пилотируемых в Липецкой области</w:t>
            </w:r>
          </w:p>
          <w:p w14:paraId="253A2938" w14:textId="214DE0FF" w:rsidR="00B24984" w:rsidRDefault="007170D7" w:rsidP="00B24984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B24984" w:rsidRPr="004B5875">
                <w:rPr>
                  <w:rStyle w:val="a5"/>
                  <w:rFonts w:ascii="Times New Roman" w:hAnsi="Times New Roman" w:cs="Times New Roman"/>
                  <w:bCs/>
                </w:rPr>
                <w:t>https://disk.yandex.ru/i/wIVyvSGJi2hDLg</w:t>
              </w:r>
            </w:hyperlink>
          </w:p>
          <w:p w14:paraId="5DFF4D31" w14:textId="69202E67" w:rsidR="00B24984" w:rsidRPr="00B24984" w:rsidRDefault="00B24984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1676" w14:paraId="3BE007DA" w14:textId="77777777" w:rsidTr="002D4037">
        <w:trPr>
          <w:trHeight w:val="360"/>
        </w:trPr>
        <w:tc>
          <w:tcPr>
            <w:tcW w:w="841" w:type="dxa"/>
          </w:tcPr>
          <w:p w14:paraId="6A4F7369" w14:textId="30AB845F" w:rsidR="006D1676" w:rsidRPr="002D4037" w:rsidRDefault="002D4037" w:rsidP="002D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3902" w:type="dxa"/>
          </w:tcPr>
          <w:p w14:paraId="050B7EC8" w14:textId="7C3493F4" w:rsidR="006D1676" w:rsidRPr="000A0589" w:rsidRDefault="002D4037" w:rsidP="002D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14:paraId="250B66E5" w14:textId="081CEACF" w:rsidR="006D1676" w:rsidRPr="00012918" w:rsidRDefault="002D4037" w:rsidP="002D40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77" w:type="dxa"/>
          </w:tcPr>
          <w:p w14:paraId="4177276C" w14:textId="5868C1B8" w:rsidR="006D1676" w:rsidRPr="00012918" w:rsidRDefault="002D4037" w:rsidP="002D40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81" w:type="dxa"/>
          </w:tcPr>
          <w:p w14:paraId="133037F9" w14:textId="45DC845D" w:rsidR="006D1676" w:rsidRPr="00012918" w:rsidRDefault="002D4037" w:rsidP="002D40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A0589" w14:paraId="5EC81C79" w14:textId="77777777" w:rsidTr="002D4037">
        <w:trPr>
          <w:trHeight w:val="360"/>
        </w:trPr>
        <w:tc>
          <w:tcPr>
            <w:tcW w:w="841" w:type="dxa"/>
          </w:tcPr>
          <w:p w14:paraId="171BE976" w14:textId="77777777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24D8211F" w14:textId="15082DD0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587" w:type="dxa"/>
          </w:tcPr>
          <w:p w14:paraId="127B6028" w14:textId="519295A8" w:rsidR="000A0589" w:rsidRPr="00251787" w:rsidRDefault="007006D2" w:rsidP="002020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 ано</w:t>
            </w:r>
            <w:r w:rsidR="00251787" w:rsidRPr="00251787">
              <w:rPr>
                <w:rFonts w:ascii="Times New Roman" w:hAnsi="Times New Roman" w:cs="Times New Roman"/>
                <w:bCs/>
              </w:rPr>
              <w:t>ни</w:t>
            </w:r>
            <w:r>
              <w:rPr>
                <w:rFonts w:ascii="Times New Roman" w:hAnsi="Times New Roman" w:cs="Times New Roman"/>
                <w:bCs/>
              </w:rPr>
              <w:t xml:space="preserve">мный опрос </w:t>
            </w:r>
            <w:r w:rsidR="00251787" w:rsidRPr="00251787">
              <w:rPr>
                <w:rFonts w:ascii="Times New Roman" w:hAnsi="Times New Roman" w:cs="Times New Roman"/>
                <w:bCs/>
              </w:rPr>
              <w:t>20 работодателей и 80 соискателей</w:t>
            </w:r>
            <w:r w:rsidR="00202027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202027">
              <w:rPr>
                <w:rFonts w:ascii="Times New Roman" w:hAnsi="Times New Roman" w:cs="Times New Roman"/>
                <w:bCs/>
              </w:rPr>
              <w:t>г.Липецке</w:t>
            </w:r>
            <w:proofErr w:type="spellEnd"/>
            <w:r w:rsidR="00202027">
              <w:rPr>
                <w:rFonts w:ascii="Times New Roman" w:hAnsi="Times New Roman" w:cs="Times New Roman"/>
                <w:bCs/>
              </w:rPr>
              <w:t xml:space="preserve"> и </w:t>
            </w:r>
            <w:proofErr w:type="gramStart"/>
            <w:r w:rsidR="00202027">
              <w:rPr>
                <w:rFonts w:ascii="Times New Roman" w:hAnsi="Times New Roman" w:cs="Times New Roman"/>
                <w:bCs/>
              </w:rPr>
              <w:t>20 работодателей</w:t>
            </w:r>
            <w:proofErr w:type="gramEnd"/>
            <w:r w:rsidR="00202027">
              <w:rPr>
                <w:rFonts w:ascii="Times New Roman" w:hAnsi="Times New Roman" w:cs="Times New Roman"/>
                <w:bCs/>
              </w:rPr>
              <w:t xml:space="preserve"> и 80 граждан в </w:t>
            </w:r>
            <w:proofErr w:type="spellStart"/>
            <w:r w:rsidR="00202027">
              <w:rPr>
                <w:rFonts w:ascii="Times New Roman" w:hAnsi="Times New Roman" w:cs="Times New Roman"/>
                <w:bCs/>
              </w:rPr>
              <w:t>г.Ельце</w:t>
            </w:r>
            <w:proofErr w:type="spellEnd"/>
            <w:r w:rsidR="00251787" w:rsidRPr="00251787">
              <w:rPr>
                <w:rFonts w:ascii="Times New Roman" w:hAnsi="Times New Roman" w:cs="Times New Roman"/>
                <w:bCs/>
              </w:rPr>
              <w:t xml:space="preserve"> в период с 25.04.2022 по 29.04.2022</w:t>
            </w:r>
            <w:r w:rsidR="00251787">
              <w:rPr>
                <w:rFonts w:ascii="Times New Roman" w:hAnsi="Times New Roman" w:cs="Times New Roman"/>
                <w:bCs/>
              </w:rPr>
              <w:t>. С</w:t>
            </w:r>
            <w:r>
              <w:rPr>
                <w:rFonts w:ascii="Times New Roman" w:hAnsi="Times New Roman" w:cs="Times New Roman"/>
                <w:bCs/>
              </w:rPr>
              <w:t>обраны объективные данные, влияющие на впечатление граждан от взаимодействия с ЦЗН.</w:t>
            </w:r>
            <w:r w:rsidR="0025178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77" w:type="dxa"/>
          </w:tcPr>
          <w:p w14:paraId="2224935C" w14:textId="0A14E772" w:rsidR="000A0589" w:rsidRPr="007006D2" w:rsidRDefault="00012918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6D2">
              <w:rPr>
                <w:rFonts w:ascii="Times New Roman" w:hAnsi="Times New Roman" w:cs="Times New Roman"/>
                <w:bCs/>
              </w:rPr>
              <w:t>С 25.04.2022 по 29.04.2022</w:t>
            </w:r>
          </w:p>
        </w:tc>
        <w:tc>
          <w:tcPr>
            <w:tcW w:w="4581" w:type="dxa"/>
          </w:tcPr>
          <w:p w14:paraId="4CBD7A79" w14:textId="77777777" w:rsidR="00240477" w:rsidRDefault="007170D7" w:rsidP="00240477">
            <w:hyperlink r:id="rId8" w:history="1">
              <w:r w:rsidR="00240477">
                <w:rPr>
                  <w:rStyle w:val="a5"/>
                </w:rPr>
                <w:t>https://disk.yandex.ru/d/itz80AKy92A-6Q</w:t>
              </w:r>
            </w:hyperlink>
          </w:p>
          <w:p w14:paraId="1C105332" w14:textId="77777777" w:rsidR="00240477" w:rsidRDefault="00240477" w:rsidP="00240477">
            <w:r>
              <w:t xml:space="preserve">Оценка взаимодействия </w:t>
            </w:r>
            <w:proofErr w:type="spellStart"/>
            <w:r>
              <w:t>омниканальности</w:t>
            </w:r>
            <w:proofErr w:type="spellEnd"/>
            <w:r>
              <w:t xml:space="preserve"> и многоканальности</w:t>
            </w:r>
          </w:p>
          <w:p w14:paraId="39545378" w14:textId="77777777" w:rsidR="00240477" w:rsidRDefault="00240477" w:rsidP="00240477"/>
          <w:p w14:paraId="7313062C" w14:textId="77777777" w:rsidR="00240477" w:rsidRDefault="007170D7" w:rsidP="00240477">
            <w:hyperlink r:id="rId9" w:history="1">
              <w:r w:rsidR="00240477">
                <w:rPr>
                  <w:rStyle w:val="a5"/>
                </w:rPr>
                <w:t>https://disk.yandex.ru/d/ZGEYwx-mwFhKsQ</w:t>
              </w:r>
            </w:hyperlink>
          </w:p>
          <w:p w14:paraId="3BE0AF2F" w14:textId="77777777" w:rsidR="00240477" w:rsidRDefault="00240477" w:rsidP="00240477">
            <w:r>
              <w:t>Оценка доступности и понятности информации КОНТАКТ-ЦЕНТРА</w:t>
            </w:r>
          </w:p>
          <w:p w14:paraId="35AD78D0" w14:textId="77777777" w:rsidR="00240477" w:rsidRDefault="00240477" w:rsidP="00240477"/>
          <w:p w14:paraId="5B009C20" w14:textId="77777777" w:rsidR="00240477" w:rsidRDefault="007170D7" w:rsidP="00240477">
            <w:hyperlink r:id="rId10" w:history="1">
              <w:r w:rsidR="00240477">
                <w:rPr>
                  <w:rStyle w:val="a5"/>
                </w:rPr>
                <w:t>https://disk.yandex.ru/d/wUND8yiNahbuDg</w:t>
              </w:r>
            </w:hyperlink>
          </w:p>
          <w:p w14:paraId="41726C4A" w14:textId="77777777" w:rsidR="00240477" w:rsidRDefault="00240477" w:rsidP="00240477">
            <w:r>
              <w:t>Оценка доступности и понятности информации в ЦЗН и в ВК</w:t>
            </w:r>
          </w:p>
          <w:p w14:paraId="5DB1259A" w14:textId="77777777" w:rsidR="00240477" w:rsidRDefault="00240477" w:rsidP="00240477"/>
          <w:p w14:paraId="6FFC732A" w14:textId="77777777" w:rsidR="00240477" w:rsidRDefault="007170D7" w:rsidP="00240477">
            <w:hyperlink r:id="rId11" w:history="1">
              <w:r w:rsidR="00240477">
                <w:rPr>
                  <w:rStyle w:val="a5"/>
                </w:rPr>
                <w:t>https://disk.yandex.ru/d/0JYFxYjb8hS3Rg</w:t>
              </w:r>
            </w:hyperlink>
          </w:p>
          <w:p w14:paraId="42DAF384" w14:textId="77777777" w:rsidR="00240477" w:rsidRDefault="00240477" w:rsidP="00240477">
            <w:r>
              <w:t>Оценка доступности и понятности информации на сайте</w:t>
            </w:r>
          </w:p>
          <w:p w14:paraId="64BCE019" w14:textId="77777777" w:rsidR="00240477" w:rsidRDefault="00240477" w:rsidP="00240477"/>
          <w:p w14:paraId="3CEE146C" w14:textId="77777777" w:rsidR="00240477" w:rsidRDefault="007170D7" w:rsidP="00240477">
            <w:hyperlink r:id="rId12" w:history="1">
              <w:r w:rsidR="00240477">
                <w:rPr>
                  <w:rStyle w:val="a5"/>
                </w:rPr>
                <w:t>https://disk.yandex.ru/d/4M5u_dCeFD7HXQ</w:t>
              </w:r>
            </w:hyperlink>
          </w:p>
          <w:p w14:paraId="149237F2" w14:textId="77777777" w:rsidR="00240477" w:rsidRDefault="00240477" w:rsidP="00240477">
            <w:r>
              <w:t>Оценка транспортной доступности</w:t>
            </w:r>
          </w:p>
          <w:p w14:paraId="7035E611" w14:textId="67B9300D" w:rsidR="007006D2" w:rsidRPr="00240477" w:rsidRDefault="007006D2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589" w14:paraId="207F9942" w14:textId="77777777" w:rsidTr="002D4037">
        <w:trPr>
          <w:trHeight w:val="360"/>
        </w:trPr>
        <w:tc>
          <w:tcPr>
            <w:tcW w:w="841" w:type="dxa"/>
          </w:tcPr>
          <w:p w14:paraId="0ACBFB1B" w14:textId="77777777" w:rsidR="000A0589" w:rsidRPr="008962A1" w:rsidRDefault="000A0589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4E6CF69A" w14:textId="12C0E9FC" w:rsidR="000A0589" w:rsidRPr="000A0589" w:rsidRDefault="000A0589" w:rsidP="00DD0C71">
            <w:pPr>
              <w:rPr>
                <w:rFonts w:ascii="Times New Roman" w:hAnsi="Times New Roman" w:cs="Times New Roman"/>
              </w:rPr>
            </w:pPr>
            <w:r w:rsidRPr="000A0589">
              <w:rPr>
                <w:rFonts w:ascii="Times New Roman" w:hAnsi="Times New Roman" w:cs="Times New Roman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587" w:type="dxa"/>
          </w:tcPr>
          <w:p w14:paraId="453D49D6" w14:textId="544D420C" w:rsidR="000A0589" w:rsidRPr="007B0F1C" w:rsidRDefault="007B0F1C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0F1C">
              <w:rPr>
                <w:rFonts w:ascii="Times New Roman" w:hAnsi="Times New Roman" w:cs="Times New Roman"/>
                <w:bCs/>
              </w:rPr>
              <w:t>ФЦК</w:t>
            </w:r>
          </w:p>
        </w:tc>
        <w:tc>
          <w:tcPr>
            <w:tcW w:w="1977" w:type="dxa"/>
          </w:tcPr>
          <w:p w14:paraId="5B46730D" w14:textId="2683E87E" w:rsidR="000A0589" w:rsidRDefault="000A0589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</w:tcPr>
          <w:p w14:paraId="38B8B189" w14:textId="77777777" w:rsidR="000A0589" w:rsidRDefault="000A0589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5F2" w14:paraId="6F15FC4D" w14:textId="77777777" w:rsidTr="002D4037">
        <w:trPr>
          <w:trHeight w:val="360"/>
        </w:trPr>
        <w:tc>
          <w:tcPr>
            <w:tcW w:w="841" w:type="dxa"/>
          </w:tcPr>
          <w:p w14:paraId="2A08C924" w14:textId="77777777" w:rsidR="00C465F2" w:rsidRPr="008962A1" w:rsidRDefault="00C465F2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2E193130" w14:textId="3ABDE4EF" w:rsidR="00C465F2" w:rsidRPr="00C72899" w:rsidRDefault="00C72899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3500FF">
              <w:rPr>
                <w:rFonts w:ascii="Times New Roman" w:hAnsi="Times New Roman" w:cs="Times New Roman"/>
              </w:rPr>
              <w:t xml:space="preserve">и сдача </w:t>
            </w:r>
            <w:r w:rsidR="00365186">
              <w:rPr>
                <w:rFonts w:ascii="Times New Roman" w:hAnsi="Times New Roman" w:cs="Times New Roman"/>
              </w:rPr>
              <w:t xml:space="preserve">о результатах пилотной апробации элементов </w:t>
            </w:r>
            <w:r w:rsidR="00365186" w:rsidRPr="00B057F6">
              <w:rPr>
                <w:rFonts w:ascii="Times New Roman" w:hAnsi="Times New Roman" w:cs="Times New Roman"/>
              </w:rPr>
              <w:t>методики измерения показателей клиентоцентричности в работе СЗН</w:t>
            </w:r>
          </w:p>
        </w:tc>
        <w:tc>
          <w:tcPr>
            <w:tcW w:w="3587" w:type="dxa"/>
          </w:tcPr>
          <w:p w14:paraId="1780C061" w14:textId="5A5697AE" w:rsidR="00C465F2" w:rsidRPr="00202027" w:rsidRDefault="00A01206" w:rsidP="00B24984">
            <w:pPr>
              <w:rPr>
                <w:rFonts w:ascii="Times New Roman" w:hAnsi="Times New Roman" w:cs="Times New Roman"/>
                <w:bCs/>
              </w:rPr>
            </w:pPr>
            <w:r w:rsidRPr="00202027">
              <w:rPr>
                <w:rFonts w:ascii="Times New Roman" w:hAnsi="Times New Roman" w:cs="Times New Roman"/>
                <w:bCs/>
              </w:rPr>
              <w:t xml:space="preserve">Составлен список </w:t>
            </w:r>
            <w:r w:rsidR="00202027" w:rsidRPr="00202027">
              <w:rPr>
                <w:rFonts w:ascii="Times New Roman" w:hAnsi="Times New Roman" w:cs="Times New Roman"/>
                <w:bCs/>
              </w:rPr>
              <w:t xml:space="preserve">замечаний, </w:t>
            </w:r>
            <w:r w:rsidRPr="00202027">
              <w:rPr>
                <w:rFonts w:ascii="Times New Roman" w:hAnsi="Times New Roman" w:cs="Times New Roman"/>
                <w:bCs/>
              </w:rPr>
              <w:t>предложений</w:t>
            </w:r>
            <w:r w:rsidR="00202027" w:rsidRPr="00202027">
              <w:rPr>
                <w:rFonts w:ascii="Times New Roman" w:hAnsi="Times New Roman" w:cs="Times New Roman"/>
                <w:bCs/>
              </w:rPr>
              <w:t>, дополнений</w:t>
            </w:r>
            <w:r w:rsidRPr="00202027">
              <w:rPr>
                <w:rFonts w:ascii="Times New Roman" w:hAnsi="Times New Roman" w:cs="Times New Roman"/>
                <w:bCs/>
              </w:rPr>
              <w:t xml:space="preserve"> по </w:t>
            </w:r>
            <w:r w:rsidR="00202027" w:rsidRPr="00202027">
              <w:rPr>
                <w:rFonts w:ascii="Times New Roman" w:hAnsi="Times New Roman" w:cs="Times New Roman"/>
                <w:bCs/>
              </w:rPr>
              <w:t>улучшению методики измерения показателей клиентоцентричности программы пилотной апробации</w:t>
            </w:r>
          </w:p>
        </w:tc>
        <w:tc>
          <w:tcPr>
            <w:tcW w:w="1977" w:type="dxa"/>
          </w:tcPr>
          <w:p w14:paraId="4160F6B8" w14:textId="7AB0D6EC" w:rsidR="00C465F2" w:rsidRPr="00A61787" w:rsidRDefault="00364332" w:rsidP="00DD0C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3</w:t>
            </w:r>
            <w:r w:rsidR="00A61787">
              <w:rPr>
                <w:rFonts w:ascii="Times New Roman" w:hAnsi="Times New Roman" w:cs="Times New Roman"/>
                <w:bCs/>
              </w:rPr>
              <w:t>0.05.2022г.</w:t>
            </w:r>
          </w:p>
        </w:tc>
        <w:tc>
          <w:tcPr>
            <w:tcW w:w="4581" w:type="dxa"/>
          </w:tcPr>
          <w:p w14:paraId="3FE5D480" w14:textId="77777777" w:rsidR="00C465F2" w:rsidRDefault="00C465F2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14FAEF5C" w14:textId="77777777" w:rsidTr="002D4037">
        <w:trPr>
          <w:trHeight w:val="333"/>
        </w:trPr>
        <w:tc>
          <w:tcPr>
            <w:tcW w:w="841" w:type="dxa"/>
          </w:tcPr>
          <w:p w14:paraId="03266CFD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</w:tcPr>
          <w:p w14:paraId="742FD7CF" w14:textId="7AE2FBF5" w:rsidR="004E121E" w:rsidRDefault="000A0589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0A0589"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587" w:type="dxa"/>
          </w:tcPr>
          <w:p w14:paraId="6A771F5A" w14:textId="11938C83" w:rsidR="004E121E" w:rsidRDefault="00A61787" w:rsidP="002D4037">
            <w:pPr>
              <w:rPr>
                <w:rFonts w:ascii="Times New Roman" w:hAnsi="Times New Roman" w:cs="Times New Roman"/>
                <w:b/>
                <w:bCs/>
              </w:rPr>
            </w:pPr>
            <w:r w:rsidRPr="00A61787">
              <w:rPr>
                <w:rFonts w:ascii="Times New Roman" w:hAnsi="Times New Roman" w:cs="Times New Roman"/>
                <w:bCs/>
              </w:rPr>
              <w:t xml:space="preserve">Готовы принять участие в итоговом вебинаре </w:t>
            </w:r>
            <w:r w:rsidRPr="00A61787">
              <w:rPr>
                <w:rFonts w:ascii="Times New Roman" w:hAnsi="Times New Roman" w:cs="Times New Roman"/>
              </w:rPr>
              <w:t>о</w:t>
            </w:r>
            <w:r w:rsidRPr="000A0589">
              <w:rPr>
                <w:rFonts w:ascii="Times New Roman" w:hAnsi="Times New Roman" w:cs="Times New Roman"/>
              </w:rPr>
              <w:t xml:space="preserve">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1977" w:type="dxa"/>
          </w:tcPr>
          <w:p w14:paraId="014063DF" w14:textId="31F11101" w:rsidR="004E121E" w:rsidRDefault="00A61787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787">
              <w:rPr>
                <w:rFonts w:ascii="Times New Roman" w:hAnsi="Times New Roman" w:cs="Times New Roman"/>
                <w:bCs/>
              </w:rPr>
              <w:t>с 20.06.2022 по 30.06.2022</w:t>
            </w:r>
          </w:p>
          <w:p w14:paraId="76FAB9E6" w14:textId="45419D67" w:rsidR="00A61787" w:rsidRDefault="00A61787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</w:tcPr>
          <w:p w14:paraId="0BBAB693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BD5A9C" w14:textId="1E440142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63643CE6" w14:textId="6D320681" w:rsidR="004E121E" w:rsidRDefault="004E121E" w:rsidP="00A57947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</w:t>
      </w:r>
      <w:r w:rsidR="00A01206">
        <w:rPr>
          <w:rFonts w:ascii="Times New Roman" w:hAnsi="Times New Roman" w:cs="Times New Roman"/>
          <w:b/>
          <w:bCs/>
        </w:rPr>
        <w:t xml:space="preserve">амечания/предложения/дополнения </w:t>
      </w:r>
      <w:r>
        <w:rPr>
          <w:rFonts w:ascii="Times New Roman" w:hAnsi="Times New Roman" w:cs="Times New Roman"/>
          <w:b/>
          <w:bCs/>
        </w:rPr>
        <w:t xml:space="preserve">по итогам реализации пилотной апробации элементов </w:t>
      </w:r>
      <w:r w:rsidR="0085070E">
        <w:rPr>
          <w:rFonts w:ascii="Times New Roman" w:hAnsi="Times New Roman" w:cs="Times New Roman"/>
          <w:b/>
          <w:bCs/>
        </w:rPr>
        <w:t>методики измерения показателей клиентоцентричности</w:t>
      </w:r>
      <w:r w:rsidR="00364332">
        <w:rPr>
          <w:rFonts w:ascii="Times New Roman" w:hAnsi="Times New Roman" w:cs="Times New Roman"/>
          <w:b/>
          <w:bCs/>
        </w:rPr>
        <w:t>.</w:t>
      </w:r>
    </w:p>
    <w:p w14:paraId="451B4A8C" w14:textId="4D60DAC8" w:rsidR="006D1676" w:rsidRPr="006D1676" w:rsidRDefault="00C812F9" w:rsidP="006D1676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Опросы для граждан и работодателей.</w:t>
      </w:r>
      <w:r w:rsidRPr="00C812F9">
        <w:rPr>
          <w:rFonts w:ascii="Times New Roman" w:hAnsi="Times New Roman" w:cs="Times New Roman"/>
          <w:bCs/>
        </w:rPr>
        <w:t xml:space="preserve">          </w:t>
      </w:r>
    </w:p>
    <w:p w14:paraId="463D3760" w14:textId="5BCBE54A" w:rsidR="00B830D6" w:rsidRDefault="00C812F9" w:rsidP="004765B7">
      <w:pPr>
        <w:keepNext/>
        <w:ind w:firstLine="993"/>
        <w:rPr>
          <w:rFonts w:ascii="Times New Roman" w:hAnsi="Times New Roman" w:cs="Times New Roman"/>
          <w:bCs/>
        </w:rPr>
      </w:pPr>
      <w:r w:rsidRPr="00C812F9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При прохождении опросов по ссылке с гаджетов анкетируемых, не всегда корректно отображались во</w:t>
      </w:r>
      <w:r w:rsidR="00833A69">
        <w:rPr>
          <w:rFonts w:ascii="Times New Roman" w:hAnsi="Times New Roman" w:cs="Times New Roman"/>
          <w:bCs/>
        </w:rPr>
        <w:t>просы анкеты. Тем</w:t>
      </w:r>
      <w:r w:rsidR="006D1676">
        <w:rPr>
          <w:rFonts w:ascii="Times New Roman" w:hAnsi="Times New Roman" w:cs="Times New Roman"/>
          <w:bCs/>
        </w:rPr>
        <w:t>, у кого отражались не корректные, не</w:t>
      </w:r>
      <w:r w:rsidR="002D4037">
        <w:rPr>
          <w:rFonts w:ascii="Times New Roman" w:hAnsi="Times New Roman" w:cs="Times New Roman"/>
          <w:bCs/>
        </w:rPr>
        <w:t>читаемые вопросы, предлагалось</w:t>
      </w:r>
      <w:r w:rsidR="006D1676">
        <w:rPr>
          <w:rFonts w:ascii="Times New Roman" w:hAnsi="Times New Roman" w:cs="Times New Roman"/>
          <w:bCs/>
        </w:rPr>
        <w:t xml:space="preserve"> очистить Кэш Браузера пройдя по ссылке. На что многие анкетируемые реагировали с недовольством. Пришлось задействовать не 20 работодателей, а 25, т.к. работодатели преимущественно проходили </w:t>
      </w:r>
      <w:proofErr w:type="gramStart"/>
      <w:r w:rsidR="006D1676">
        <w:rPr>
          <w:rFonts w:ascii="Times New Roman" w:hAnsi="Times New Roman" w:cs="Times New Roman"/>
          <w:bCs/>
        </w:rPr>
        <w:t>опрос  с</w:t>
      </w:r>
      <w:proofErr w:type="gramEnd"/>
      <w:r w:rsidR="006D1676">
        <w:rPr>
          <w:rFonts w:ascii="Times New Roman" w:hAnsi="Times New Roman" w:cs="Times New Roman"/>
          <w:bCs/>
        </w:rPr>
        <w:t xml:space="preserve"> собственных гаджетов. Граждане, проходящие опрос с гостевых компьютеров</w:t>
      </w:r>
      <w:r w:rsidR="00851C8F">
        <w:rPr>
          <w:rFonts w:ascii="Times New Roman" w:hAnsi="Times New Roman" w:cs="Times New Roman"/>
          <w:bCs/>
        </w:rPr>
        <w:t>.</w:t>
      </w:r>
      <w:r w:rsidR="006D1676">
        <w:rPr>
          <w:rFonts w:ascii="Times New Roman" w:hAnsi="Times New Roman" w:cs="Times New Roman"/>
          <w:bCs/>
        </w:rPr>
        <w:t xml:space="preserve"> с такой проблемой не сталкивались.</w:t>
      </w:r>
    </w:p>
    <w:p w14:paraId="7ABBB8AC" w14:textId="7497C65F" w:rsidR="004765B7" w:rsidRDefault="002D4037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51C8F">
        <w:rPr>
          <w:rFonts w:ascii="Times New Roman" w:hAnsi="Times New Roman" w:cs="Times New Roman"/>
          <w:bCs/>
        </w:rPr>
        <w:t>Дополнительно д</w:t>
      </w:r>
      <w:r>
        <w:rPr>
          <w:rFonts w:ascii="Times New Roman" w:hAnsi="Times New Roman" w:cs="Times New Roman"/>
          <w:bCs/>
        </w:rPr>
        <w:t>ля анализа и мониторинга поступивших анкет предоставлять возможность сортировать анкеты отдельно граждан и работодателей</w:t>
      </w:r>
      <w:r w:rsidR="00851C8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и по дате заполнения. Настроить просмотр заполненных анкет. </w:t>
      </w:r>
    </w:p>
    <w:p w14:paraId="6A838271" w14:textId="0EA89639" w:rsidR="00841AD7" w:rsidRDefault="002D4037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26F5B">
        <w:rPr>
          <w:rFonts w:ascii="Times New Roman" w:hAnsi="Times New Roman" w:cs="Times New Roman"/>
          <w:bCs/>
        </w:rPr>
        <w:t>Чем меньше усилий затратит гражданин на заполнение опроса, тем выше вероятность, что ему хватит желания и терпения оставить нужную нам информацию. Поэтому у</w:t>
      </w:r>
      <w:r>
        <w:rPr>
          <w:rFonts w:ascii="Times New Roman" w:hAnsi="Times New Roman" w:cs="Times New Roman"/>
          <w:bCs/>
        </w:rPr>
        <w:t xml:space="preserve">никальный номер </w:t>
      </w:r>
      <w:r w:rsidR="00D26F5B">
        <w:rPr>
          <w:rFonts w:ascii="Times New Roman" w:hAnsi="Times New Roman" w:cs="Times New Roman"/>
          <w:bCs/>
        </w:rPr>
        <w:t>предлагаем исключить</w:t>
      </w:r>
      <w:r w:rsidR="00E7437C">
        <w:rPr>
          <w:rFonts w:ascii="Times New Roman" w:hAnsi="Times New Roman" w:cs="Times New Roman"/>
          <w:bCs/>
        </w:rPr>
        <w:t>, так-как</w:t>
      </w:r>
      <w:r>
        <w:rPr>
          <w:rFonts w:ascii="Times New Roman" w:hAnsi="Times New Roman" w:cs="Times New Roman"/>
          <w:bCs/>
        </w:rPr>
        <w:t xml:space="preserve"> </w:t>
      </w:r>
      <w:r w:rsidR="005D1E2B">
        <w:rPr>
          <w:rFonts w:ascii="Times New Roman" w:hAnsi="Times New Roman" w:cs="Times New Roman"/>
          <w:bCs/>
        </w:rPr>
        <w:t>он вызывает вопросы у граждан.</w:t>
      </w:r>
    </w:p>
    <w:p w14:paraId="4999DEE4" w14:textId="1AD478C0" w:rsidR="00B830D6" w:rsidRDefault="00E7437C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При заполнении Анкеты №3, неудобство вызывало то</w:t>
      </w:r>
      <w:r w:rsidR="00085F8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что нажимая кнопку «продолжить»</w:t>
      </w:r>
      <w:r w:rsidR="00851C8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невозможно вернуться на предыдущую страницу, чтобы дополнить, откорректировать, внести ссылку.</w:t>
      </w:r>
    </w:p>
    <w:p w14:paraId="66656A7F" w14:textId="07AC56AD" w:rsidR="00841AD7" w:rsidRDefault="00841AD7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085F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 ответах на некоторые вопросы анкеты граждане просили дополнительные разъяснения: (</w:t>
      </w:r>
      <w:proofErr w:type="gramStart"/>
      <w:r>
        <w:rPr>
          <w:rFonts w:ascii="Times New Roman" w:hAnsi="Times New Roman" w:cs="Times New Roman"/>
          <w:bCs/>
        </w:rPr>
        <w:t xml:space="preserve">например  </w:t>
      </w:r>
      <w:r w:rsidR="00CA70ED">
        <w:rPr>
          <w:rFonts w:ascii="Times New Roman" w:hAnsi="Times New Roman" w:cs="Times New Roman"/>
          <w:bCs/>
        </w:rPr>
        <w:t>«</w:t>
      </w:r>
      <w:proofErr w:type="gramEnd"/>
      <w:r w:rsidR="00CA70ED">
        <w:rPr>
          <w:rFonts w:ascii="Times New Roman" w:hAnsi="Times New Roman" w:cs="Times New Roman"/>
          <w:bCs/>
        </w:rPr>
        <w:t>Приходилось ли Вам обращаться к руководству?» К руководителю отдела или руководителю центра?»)</w:t>
      </w:r>
      <w:r w:rsidR="00851C8F">
        <w:rPr>
          <w:rFonts w:ascii="Times New Roman" w:hAnsi="Times New Roman" w:cs="Times New Roman"/>
          <w:bCs/>
        </w:rPr>
        <w:t xml:space="preserve">. </w:t>
      </w:r>
      <w:r w:rsidR="00085F86">
        <w:rPr>
          <w:rFonts w:ascii="Times New Roman" w:hAnsi="Times New Roman" w:cs="Times New Roman"/>
          <w:bCs/>
        </w:rPr>
        <w:t xml:space="preserve"> Или на вопрос «Информация о ЦЗН представлена в понятной и доступной форме  на сайте СЗН?</w:t>
      </w:r>
      <w:r w:rsidR="00851C8F">
        <w:rPr>
          <w:rFonts w:ascii="Times New Roman" w:hAnsi="Times New Roman" w:cs="Times New Roman"/>
          <w:bCs/>
        </w:rPr>
        <w:t>»</w:t>
      </w:r>
      <w:r w:rsidR="00085F86">
        <w:rPr>
          <w:rFonts w:ascii="Times New Roman" w:hAnsi="Times New Roman" w:cs="Times New Roman"/>
          <w:bCs/>
        </w:rPr>
        <w:t xml:space="preserve"> Многие принимали за сайт портал «Работа в России».</w:t>
      </w:r>
    </w:p>
    <w:p w14:paraId="1CE2C66F" w14:textId="526A9484" w:rsidR="00085F86" w:rsidRDefault="00B830D6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841AD7">
        <w:rPr>
          <w:rFonts w:ascii="Times New Roman" w:hAnsi="Times New Roman" w:cs="Times New Roman"/>
          <w:bCs/>
        </w:rPr>
        <w:t>. Измерение показателя</w:t>
      </w:r>
      <w:r w:rsidR="00CA70ED">
        <w:rPr>
          <w:rFonts w:ascii="Times New Roman" w:hAnsi="Times New Roman" w:cs="Times New Roman"/>
          <w:bCs/>
        </w:rPr>
        <w:t xml:space="preserve"> клиентоцентричности</w:t>
      </w:r>
      <w:r w:rsidR="00841AD7">
        <w:rPr>
          <w:rFonts w:ascii="Times New Roman" w:hAnsi="Times New Roman" w:cs="Times New Roman"/>
          <w:bCs/>
        </w:rPr>
        <w:t xml:space="preserve"> «Динамика роста базы вакансий» </w:t>
      </w:r>
      <w:r w:rsidR="00CA70ED">
        <w:rPr>
          <w:rFonts w:ascii="Times New Roman" w:hAnsi="Times New Roman" w:cs="Times New Roman"/>
          <w:bCs/>
        </w:rPr>
        <w:t xml:space="preserve">в сложившейся политической и экономической ситуации адекватно оценить сложно. Количество резюме и безработных растет, а динамика спроса замедлилась. Многие предприятия приостановили </w:t>
      </w:r>
      <w:r w:rsidR="00085F86">
        <w:rPr>
          <w:rFonts w:ascii="Times New Roman" w:hAnsi="Times New Roman" w:cs="Times New Roman"/>
          <w:bCs/>
        </w:rPr>
        <w:t xml:space="preserve">работу из-за разрушенных логистических цепочек и неопределенных перспектив. </w:t>
      </w:r>
      <w:proofErr w:type="gramStart"/>
      <w:r w:rsidR="00085F86">
        <w:rPr>
          <w:rFonts w:ascii="Times New Roman" w:hAnsi="Times New Roman" w:cs="Times New Roman"/>
          <w:bCs/>
        </w:rPr>
        <w:t>Из-за временной приостановки деят</w:t>
      </w:r>
      <w:r w:rsidR="00851C8F">
        <w:rPr>
          <w:rFonts w:ascii="Times New Roman" w:hAnsi="Times New Roman" w:cs="Times New Roman"/>
          <w:bCs/>
        </w:rPr>
        <w:t>ельности международных компаний</w:t>
      </w:r>
      <w:r w:rsidR="00085F86">
        <w:rPr>
          <w:rFonts w:ascii="Times New Roman" w:hAnsi="Times New Roman" w:cs="Times New Roman"/>
          <w:bCs/>
        </w:rPr>
        <w:t>,</w:t>
      </w:r>
      <w:proofErr w:type="gramEnd"/>
      <w:r w:rsidR="00085F86">
        <w:rPr>
          <w:rFonts w:ascii="Times New Roman" w:hAnsi="Times New Roman" w:cs="Times New Roman"/>
          <w:bCs/>
        </w:rPr>
        <w:t xml:space="preserve"> увеличилось число безработных и возросла неполная занятость. Адекватно оценить данный показатель можно будет после стабилизации обстановки в экономике страны и мира в целом.</w:t>
      </w:r>
    </w:p>
    <w:p w14:paraId="1FA29C41" w14:textId="6015A252" w:rsidR="0042018D" w:rsidRDefault="0085784F" w:rsidP="004765B7">
      <w:pPr>
        <w:keepNext/>
        <w:ind w:firstLine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5D1E2B">
        <w:rPr>
          <w:rFonts w:ascii="Times New Roman" w:hAnsi="Times New Roman" w:cs="Times New Roman"/>
          <w:bCs/>
        </w:rPr>
        <w:t xml:space="preserve">Предлагаем гражданам и работодателям выражать благодарность за прохождение </w:t>
      </w:r>
      <w:r w:rsidR="000E1029">
        <w:rPr>
          <w:rFonts w:ascii="Times New Roman" w:hAnsi="Times New Roman" w:cs="Times New Roman"/>
          <w:bCs/>
        </w:rPr>
        <w:t>опроса в е-</w:t>
      </w:r>
      <w:r w:rsidR="000E1029">
        <w:rPr>
          <w:rFonts w:ascii="Times New Roman" w:hAnsi="Times New Roman" w:cs="Times New Roman"/>
          <w:bCs/>
          <w:lang w:val="en-US"/>
        </w:rPr>
        <w:t>mail</w:t>
      </w:r>
      <w:r w:rsidR="000E1029" w:rsidRPr="000E1029">
        <w:rPr>
          <w:rFonts w:ascii="Times New Roman" w:hAnsi="Times New Roman" w:cs="Times New Roman"/>
          <w:bCs/>
        </w:rPr>
        <w:t xml:space="preserve"> </w:t>
      </w:r>
      <w:r w:rsidR="000E1029">
        <w:rPr>
          <w:rFonts w:ascii="Times New Roman" w:hAnsi="Times New Roman" w:cs="Times New Roman"/>
          <w:bCs/>
        </w:rPr>
        <w:t>рассылке.</w:t>
      </w:r>
    </w:p>
    <w:p w14:paraId="360C2582" w14:textId="3C51239C" w:rsidR="005D1E2B" w:rsidRDefault="0085784F" w:rsidP="00804DA9">
      <w:pPr>
        <w:keepNext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9E558B">
        <w:rPr>
          <w:rFonts w:ascii="Times New Roman" w:hAnsi="Times New Roman" w:cs="Times New Roman"/>
          <w:bCs/>
        </w:rPr>
        <w:t xml:space="preserve">                                       </w:t>
      </w:r>
      <w:r w:rsidR="002E21ED">
        <w:rPr>
          <w:rFonts w:ascii="Times New Roman" w:hAnsi="Times New Roman" w:cs="Times New Roman"/>
          <w:bCs/>
        </w:rPr>
        <w:t xml:space="preserve"> </w:t>
      </w:r>
    </w:p>
    <w:p w14:paraId="7A5011B6" w14:textId="6B43A51D" w:rsidR="00B830D6" w:rsidRDefault="00B830D6" w:rsidP="00C812F9">
      <w:pPr>
        <w:keepNext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Pr="00B830D6">
        <w:rPr>
          <w:rFonts w:ascii="Times New Roman" w:hAnsi="Times New Roman" w:cs="Times New Roman"/>
          <w:b/>
          <w:bCs/>
        </w:rPr>
        <w:t>Предложения</w:t>
      </w:r>
      <w:r>
        <w:rPr>
          <w:rFonts w:ascii="Times New Roman" w:hAnsi="Times New Roman" w:cs="Times New Roman"/>
          <w:bCs/>
        </w:rPr>
        <w:t xml:space="preserve"> </w:t>
      </w:r>
      <w:r w:rsidRPr="006D1676">
        <w:rPr>
          <w:rFonts w:ascii="Times New Roman" w:hAnsi="Times New Roman" w:cs="Times New Roman"/>
          <w:b/>
          <w:iCs/>
        </w:rPr>
        <w:t xml:space="preserve">по улучшению методики измерения показателей </w:t>
      </w:r>
      <w:proofErr w:type="spellStart"/>
      <w:r w:rsidRPr="006D1676">
        <w:rPr>
          <w:rFonts w:ascii="Times New Roman" w:hAnsi="Times New Roman" w:cs="Times New Roman"/>
          <w:b/>
          <w:iCs/>
        </w:rPr>
        <w:t>клиентоцетричности</w:t>
      </w:r>
      <w:proofErr w:type="spellEnd"/>
      <w:r w:rsidRPr="006D1676">
        <w:rPr>
          <w:rFonts w:ascii="Times New Roman" w:hAnsi="Times New Roman" w:cs="Times New Roman"/>
          <w:b/>
          <w:iCs/>
        </w:rPr>
        <w:t>, программы пилотной апробации</w:t>
      </w:r>
      <w:r>
        <w:rPr>
          <w:rFonts w:ascii="Times New Roman" w:hAnsi="Times New Roman" w:cs="Times New Roman"/>
          <w:b/>
          <w:iCs/>
        </w:rPr>
        <w:t>.</w:t>
      </w:r>
    </w:p>
    <w:p w14:paraId="2E895791" w14:textId="091DD91C" w:rsidR="00851C8F" w:rsidRDefault="00E7437C" w:rsidP="004765B7">
      <w:pPr>
        <w:ind w:firstLine="993"/>
        <w:jc w:val="both"/>
        <w:rPr>
          <w:rFonts w:ascii="Times New Roman" w:hAnsi="Times New Roman" w:cs="Times New Roman"/>
          <w:iCs/>
        </w:rPr>
      </w:pPr>
      <w:r w:rsidRPr="00085F86">
        <w:rPr>
          <w:rFonts w:ascii="Times New Roman" w:hAnsi="Times New Roman" w:cs="Times New Roman"/>
          <w:iCs/>
        </w:rPr>
        <w:t>1.</w:t>
      </w:r>
      <w:r w:rsidR="00851C8F">
        <w:rPr>
          <w:rFonts w:ascii="Times New Roman" w:hAnsi="Times New Roman" w:cs="Times New Roman"/>
          <w:iCs/>
        </w:rPr>
        <w:t>Включить комплексную оценку</w:t>
      </w:r>
      <w:r w:rsidR="00E97291" w:rsidRPr="00085F86">
        <w:rPr>
          <w:rFonts w:ascii="Times New Roman" w:hAnsi="Times New Roman" w:cs="Times New Roman"/>
          <w:iCs/>
        </w:rPr>
        <w:t xml:space="preserve"> качества обслуживания кли</w:t>
      </w:r>
      <w:r w:rsidR="00851C8F">
        <w:rPr>
          <w:rFonts w:ascii="Times New Roman" w:hAnsi="Times New Roman" w:cs="Times New Roman"/>
          <w:iCs/>
        </w:rPr>
        <w:t>ента центра занятости населения, в том числе следующие блоки:</w:t>
      </w:r>
    </w:p>
    <w:p w14:paraId="61AECACE" w14:textId="72E358B9" w:rsidR="00851C8F" w:rsidRDefault="00851C8F" w:rsidP="004765B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а) в</w:t>
      </w:r>
      <w:r w:rsidR="00841AD7" w:rsidRPr="00085F86">
        <w:rPr>
          <w:rFonts w:ascii="Times New Roman" w:hAnsi="Times New Roman" w:cs="Times New Roman"/>
          <w:iCs/>
        </w:rPr>
        <w:t xml:space="preserve">недрение стандарта качества </w:t>
      </w:r>
      <w:r w:rsidR="00E97291" w:rsidRPr="00841AD7">
        <w:rPr>
          <w:rFonts w:ascii="Times New Roman" w:hAnsi="Times New Roman" w:cs="Times New Roman"/>
          <w:iCs/>
        </w:rPr>
        <w:t xml:space="preserve">обслуживания клиента, где будет прописано, что должен сделать сотрудник центра </w:t>
      </w:r>
      <w:r w:rsidR="00E97291" w:rsidRPr="00E7437C">
        <w:rPr>
          <w:rFonts w:ascii="Times New Roman" w:hAnsi="Times New Roman" w:cs="Times New Roman"/>
          <w:iCs/>
        </w:rPr>
        <w:t>занятости при обслуживании клиента (например поздороваться, улыбнуться, представиться, если звонит телефон, обязательно извиниться перед тем как поднять трубку, использовать позитивно окрашенные слова-спасибо, будьте добры, пожалуйста, попрощаться и т.д.) и чего не должен делать ни при каких обстоятельствах (не разговаривать на личные темы в присутствии клиента, никогда не использовать профессиональные фразы или аб</w:t>
      </w:r>
      <w:r w:rsidR="00833A69" w:rsidRPr="00E7437C">
        <w:rPr>
          <w:rFonts w:ascii="Times New Roman" w:hAnsi="Times New Roman" w:cs="Times New Roman"/>
          <w:iCs/>
        </w:rPr>
        <w:t>бре</w:t>
      </w:r>
      <w:r w:rsidR="00E97291" w:rsidRPr="00E7437C">
        <w:rPr>
          <w:rFonts w:ascii="Times New Roman" w:hAnsi="Times New Roman" w:cs="Times New Roman"/>
          <w:iCs/>
        </w:rPr>
        <w:t>в</w:t>
      </w:r>
      <w:r w:rsidR="00833A69" w:rsidRPr="00E7437C">
        <w:rPr>
          <w:rFonts w:ascii="Times New Roman" w:hAnsi="Times New Roman" w:cs="Times New Roman"/>
          <w:iCs/>
        </w:rPr>
        <w:t>иа</w:t>
      </w:r>
      <w:r w:rsidR="00E97291" w:rsidRPr="00E7437C">
        <w:rPr>
          <w:rFonts w:ascii="Times New Roman" w:hAnsi="Times New Roman" w:cs="Times New Roman"/>
          <w:iCs/>
        </w:rPr>
        <w:t>туру непонятные для клиента</w:t>
      </w:r>
      <w:r w:rsidR="005B199A" w:rsidRPr="00E7437C">
        <w:rPr>
          <w:rFonts w:ascii="Times New Roman" w:hAnsi="Times New Roman" w:cs="Times New Roman"/>
          <w:iCs/>
        </w:rPr>
        <w:t>, не отвлекаться при обслуживании)</w:t>
      </w:r>
      <w:r w:rsidR="004765B7">
        <w:rPr>
          <w:rFonts w:ascii="Times New Roman" w:hAnsi="Times New Roman" w:cs="Times New Roman"/>
          <w:iCs/>
        </w:rPr>
        <w:t>.</w:t>
      </w:r>
    </w:p>
    <w:p w14:paraId="72B0F943" w14:textId="2AF50911" w:rsidR="00E7437C" w:rsidRPr="00851C8F" w:rsidRDefault="00851C8F" w:rsidP="004765B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б) ц</w:t>
      </w:r>
      <w:r w:rsidR="005B199A" w:rsidRPr="00851C8F">
        <w:rPr>
          <w:rFonts w:ascii="Times New Roman" w:hAnsi="Times New Roman" w:cs="Times New Roman"/>
          <w:iCs/>
        </w:rPr>
        <w:t xml:space="preserve">ентрализованная рассылка СМС – после обслуживания клиенту приходит СМС с просьбой оценить по шкале от 1 до 10 , как ему </w:t>
      </w:r>
    </w:p>
    <w:p w14:paraId="159A095F" w14:textId="77777777" w:rsidR="004765B7" w:rsidRDefault="005B199A" w:rsidP="004765B7">
      <w:pPr>
        <w:jc w:val="both"/>
        <w:rPr>
          <w:rFonts w:ascii="Times New Roman" w:hAnsi="Times New Roman" w:cs="Times New Roman"/>
          <w:iCs/>
        </w:rPr>
      </w:pPr>
      <w:r w:rsidRPr="00E7437C">
        <w:rPr>
          <w:rFonts w:ascii="Times New Roman" w:hAnsi="Times New Roman" w:cs="Times New Roman"/>
          <w:iCs/>
        </w:rPr>
        <w:t>понравилось обслуживание, если оценка низкая, обученный сотрудник перезванивает и уточня</w:t>
      </w:r>
      <w:r w:rsidR="005D1E2B">
        <w:rPr>
          <w:rFonts w:ascii="Times New Roman" w:hAnsi="Times New Roman" w:cs="Times New Roman"/>
          <w:iCs/>
        </w:rPr>
        <w:t xml:space="preserve">ет, что не понравилось клиенту, разбирается в конфликтных ситуациях. </w:t>
      </w:r>
      <w:r w:rsidR="00E7437C">
        <w:rPr>
          <w:rFonts w:ascii="Times New Roman" w:hAnsi="Times New Roman" w:cs="Times New Roman"/>
          <w:iCs/>
        </w:rPr>
        <w:t xml:space="preserve">   </w:t>
      </w:r>
    </w:p>
    <w:p w14:paraId="35427D53" w14:textId="105DF191" w:rsidR="000D0427" w:rsidRPr="004765B7" w:rsidRDefault="00851C8F" w:rsidP="002E0A45">
      <w:pPr>
        <w:ind w:firstLine="99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E7437C">
        <w:rPr>
          <w:rFonts w:ascii="Times New Roman" w:hAnsi="Times New Roman" w:cs="Times New Roman"/>
          <w:iCs/>
        </w:rPr>
        <w:t>.</w:t>
      </w:r>
      <w:r w:rsidR="004765B7">
        <w:rPr>
          <w:rFonts w:ascii="Times New Roman" w:hAnsi="Times New Roman" w:cs="Times New Roman"/>
          <w:iCs/>
        </w:rPr>
        <w:t xml:space="preserve">Оформить систему мониторинга, дать возможность руководителю контролировать </w:t>
      </w:r>
      <w:r w:rsidR="005B199A" w:rsidRPr="00E7437C">
        <w:rPr>
          <w:rFonts w:ascii="Times New Roman" w:hAnsi="Times New Roman" w:cs="Times New Roman"/>
          <w:iCs/>
        </w:rPr>
        <w:t>индекс С</w:t>
      </w:r>
      <w:r w:rsidR="005B199A" w:rsidRPr="00E7437C">
        <w:rPr>
          <w:rFonts w:ascii="Times New Roman" w:hAnsi="Times New Roman" w:cs="Times New Roman"/>
          <w:iCs/>
          <w:lang w:val="en-US"/>
        </w:rPr>
        <w:t>SI</w:t>
      </w:r>
      <w:r w:rsidR="004765B7">
        <w:rPr>
          <w:rFonts w:ascii="Times New Roman" w:hAnsi="Times New Roman" w:cs="Times New Roman"/>
          <w:iCs/>
        </w:rPr>
        <w:t>,</w:t>
      </w:r>
      <w:r w:rsidR="002E0A45">
        <w:rPr>
          <w:rFonts w:ascii="Times New Roman" w:hAnsi="Times New Roman" w:cs="Times New Roman"/>
          <w:iCs/>
        </w:rPr>
        <w:t xml:space="preserve"> </w:t>
      </w:r>
      <w:r w:rsidR="004765B7">
        <w:rPr>
          <w:rFonts w:ascii="Times New Roman" w:hAnsi="Times New Roman" w:cs="Times New Roman"/>
          <w:iCs/>
        </w:rPr>
        <w:t xml:space="preserve">который сформировался по итогам оценок </w:t>
      </w:r>
      <w:r w:rsidR="00833A69" w:rsidRPr="00E7437C">
        <w:rPr>
          <w:rFonts w:ascii="Times New Roman" w:hAnsi="Times New Roman" w:cs="Times New Roman"/>
          <w:iCs/>
        </w:rPr>
        <w:t>клиенто</w:t>
      </w:r>
      <w:r w:rsidR="0070651E">
        <w:rPr>
          <w:rFonts w:ascii="Times New Roman" w:hAnsi="Times New Roman" w:cs="Times New Roman"/>
          <w:iCs/>
        </w:rPr>
        <w:t>в</w:t>
      </w:r>
      <w:r w:rsidR="00833A69" w:rsidRPr="00E7437C">
        <w:rPr>
          <w:rFonts w:ascii="Times New Roman" w:hAnsi="Times New Roman" w:cs="Times New Roman"/>
          <w:iCs/>
        </w:rPr>
        <w:t>, обязат</w:t>
      </w:r>
      <w:r w:rsidR="00E7437C" w:rsidRPr="00E7437C">
        <w:rPr>
          <w:rFonts w:ascii="Times New Roman" w:hAnsi="Times New Roman" w:cs="Times New Roman"/>
          <w:iCs/>
        </w:rPr>
        <w:t xml:space="preserve">ельно присылать </w:t>
      </w:r>
      <w:proofErr w:type="gramStart"/>
      <w:r w:rsidR="00E7437C" w:rsidRPr="00E7437C">
        <w:rPr>
          <w:rFonts w:ascii="Times New Roman" w:hAnsi="Times New Roman" w:cs="Times New Roman"/>
          <w:iCs/>
        </w:rPr>
        <w:t>низкие оценки</w:t>
      </w:r>
      <w:r w:rsidR="004765B7">
        <w:rPr>
          <w:rFonts w:ascii="Times New Roman" w:hAnsi="Times New Roman" w:cs="Times New Roman"/>
          <w:iCs/>
        </w:rPr>
        <w:t xml:space="preserve"> </w:t>
      </w:r>
      <w:r w:rsidR="002E0A45">
        <w:rPr>
          <w:rFonts w:ascii="Times New Roman" w:hAnsi="Times New Roman" w:cs="Times New Roman"/>
          <w:iCs/>
        </w:rPr>
        <w:t>ФИО сотрудника</w:t>
      </w:r>
      <w:proofErr w:type="gramEnd"/>
      <w:r w:rsidR="002E0A45">
        <w:rPr>
          <w:rFonts w:ascii="Times New Roman" w:hAnsi="Times New Roman" w:cs="Times New Roman"/>
          <w:iCs/>
        </w:rPr>
        <w:t xml:space="preserve"> который</w:t>
      </w:r>
      <w:r w:rsidR="00833A69" w:rsidRPr="00E7437C">
        <w:rPr>
          <w:rFonts w:ascii="Times New Roman" w:hAnsi="Times New Roman" w:cs="Times New Roman"/>
          <w:iCs/>
        </w:rPr>
        <w:t xml:space="preserve"> его обслуживал (для проведения наставнических сессий). </w:t>
      </w:r>
    </w:p>
    <w:sectPr w:rsidR="000D0427" w:rsidRPr="004765B7" w:rsidSect="00E7437C">
      <w:pgSz w:w="16817" w:h="11901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A2A"/>
    <w:multiLevelType w:val="hybridMultilevel"/>
    <w:tmpl w:val="EE408B96"/>
    <w:lvl w:ilvl="0" w:tplc="5A1AF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F26E2"/>
    <w:multiLevelType w:val="hybridMultilevel"/>
    <w:tmpl w:val="AED8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941">
    <w:abstractNumId w:val="1"/>
  </w:num>
  <w:num w:numId="2" w16cid:durableId="100875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1E"/>
    <w:rsid w:val="000019EF"/>
    <w:rsid w:val="00012918"/>
    <w:rsid w:val="00024A04"/>
    <w:rsid w:val="00085F86"/>
    <w:rsid w:val="0009300A"/>
    <w:rsid w:val="00094CAB"/>
    <w:rsid w:val="000A0589"/>
    <w:rsid w:val="000B4DB4"/>
    <w:rsid w:val="000D0427"/>
    <w:rsid w:val="000E1029"/>
    <w:rsid w:val="00116AED"/>
    <w:rsid w:val="00143CDE"/>
    <w:rsid w:val="001471D3"/>
    <w:rsid w:val="00202027"/>
    <w:rsid w:val="00240477"/>
    <w:rsid w:val="00251787"/>
    <w:rsid w:val="002531B2"/>
    <w:rsid w:val="002A2A23"/>
    <w:rsid w:val="002D4037"/>
    <w:rsid w:val="002E0A45"/>
    <w:rsid w:val="002E21ED"/>
    <w:rsid w:val="003500FF"/>
    <w:rsid w:val="00364332"/>
    <w:rsid w:val="00365186"/>
    <w:rsid w:val="003835BB"/>
    <w:rsid w:val="00385FC3"/>
    <w:rsid w:val="0042018D"/>
    <w:rsid w:val="004765B7"/>
    <w:rsid w:val="004E121E"/>
    <w:rsid w:val="00534529"/>
    <w:rsid w:val="00544D1A"/>
    <w:rsid w:val="005978E8"/>
    <w:rsid w:val="005B199A"/>
    <w:rsid w:val="005D1E2B"/>
    <w:rsid w:val="005E1EBF"/>
    <w:rsid w:val="006D1676"/>
    <w:rsid w:val="006F14D6"/>
    <w:rsid w:val="007006D2"/>
    <w:rsid w:val="0070651E"/>
    <w:rsid w:val="00711B31"/>
    <w:rsid w:val="007170D7"/>
    <w:rsid w:val="007B0F1C"/>
    <w:rsid w:val="00804DA9"/>
    <w:rsid w:val="00833A69"/>
    <w:rsid w:val="00841AD7"/>
    <w:rsid w:val="0085070E"/>
    <w:rsid w:val="00851C8F"/>
    <w:rsid w:val="0085784F"/>
    <w:rsid w:val="00885A51"/>
    <w:rsid w:val="008C3848"/>
    <w:rsid w:val="00947DFA"/>
    <w:rsid w:val="009C389E"/>
    <w:rsid w:val="009E558B"/>
    <w:rsid w:val="00A01206"/>
    <w:rsid w:val="00A0356D"/>
    <w:rsid w:val="00A22B0E"/>
    <w:rsid w:val="00A57947"/>
    <w:rsid w:val="00A61787"/>
    <w:rsid w:val="00AA26BF"/>
    <w:rsid w:val="00AE0B5E"/>
    <w:rsid w:val="00B24984"/>
    <w:rsid w:val="00B36D13"/>
    <w:rsid w:val="00B830D6"/>
    <w:rsid w:val="00C15345"/>
    <w:rsid w:val="00C465F2"/>
    <w:rsid w:val="00C72899"/>
    <w:rsid w:val="00C812F9"/>
    <w:rsid w:val="00CA70ED"/>
    <w:rsid w:val="00D26F5B"/>
    <w:rsid w:val="00D976F1"/>
    <w:rsid w:val="00DE0319"/>
    <w:rsid w:val="00E7437C"/>
    <w:rsid w:val="00E97291"/>
    <w:rsid w:val="00F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94D"/>
  <w15:docId w15:val="{C7E903E1-DF5F-480A-B938-11FBF00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2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tz80AKy92A-6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wIVyvSGJi2hDLg" TargetMode="External"/><Relationship Id="rId12" Type="http://schemas.openxmlformats.org/officeDocument/2006/relationships/hyperlink" Target="https://disk.yandex.ru/d/4M5u_dCeFD7H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oEaknFmGcMSUUQ" TargetMode="External"/><Relationship Id="rId11" Type="http://schemas.openxmlformats.org/officeDocument/2006/relationships/hyperlink" Target="https://disk.yandex.ru/d/0JYFxYjb8hS3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wUND8yiNahbu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ZGEYwx-mwFhK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305A-3BC2-4E96-B035-88238F36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Залалова</dc:creator>
  <cp:lastModifiedBy>Яна Николаевна Мизунова</cp:lastModifiedBy>
  <cp:revision>2</cp:revision>
  <dcterms:created xsi:type="dcterms:W3CDTF">2022-05-30T12:51:00Z</dcterms:created>
  <dcterms:modified xsi:type="dcterms:W3CDTF">2022-05-30T12:51:00Z</dcterms:modified>
</cp:coreProperties>
</file>